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adjustRightInd/>
        <w:spacing w:after="0" w:line="240" w:lineRule="auto"/>
        <w:ind w:firstLine="0" w:firstLineChars="0"/>
        <w:contextualSpacing/>
        <w:jc w:val="center"/>
        <w:rPr>
          <w:rFonts w:hint="default" w:ascii="Times New Roman" w:hAnsi="Times New Roman" w:eastAsia="方正小标宋简体" w:cs="Times New Roman"/>
          <w:bCs/>
          <w:color w:val="auto"/>
          <w:sz w:val="44"/>
          <w:szCs w:val="44"/>
          <w:highlight w:val="none"/>
        </w:rPr>
      </w:pPr>
      <w:bookmarkStart w:id="0" w:name="_Hlk98935708"/>
      <w:bookmarkEnd w:id="0"/>
      <w:r>
        <w:rPr>
          <w:rFonts w:hint="default" w:ascii="Times New Roman" w:hAnsi="Times New Roman" w:eastAsia="方正小标宋简体" w:cs="Times New Roman"/>
          <w:bCs/>
          <w:color w:val="auto"/>
          <w:sz w:val="44"/>
          <w:szCs w:val="44"/>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default" w:ascii="Times New Roman" w:hAnsi="Times New Roman" w:eastAsia="方正小标宋简体" w:cs="Times New Roman"/>
          <w:bCs/>
          <w:color w:val="auto"/>
          <w:sz w:val="44"/>
          <w:szCs w:val="44"/>
          <w:highlight w:val="none"/>
        </w:rPr>
        <w:instrText xml:space="preserve">ADDIN CNKISM.UserStyle</w:instrText>
      </w:r>
      <w:r>
        <w:rPr>
          <w:rFonts w:hint="default" w:ascii="Times New Roman" w:hAnsi="Times New Roman" w:eastAsia="方正小标宋简体" w:cs="Times New Roman"/>
          <w:bCs/>
          <w:color w:val="auto"/>
          <w:sz w:val="44"/>
          <w:szCs w:val="44"/>
          <w:highlight w:val="none"/>
        </w:rPr>
        <w:fldChar w:fldCharType="end"/>
      </w:r>
    </w:p>
    <w:p>
      <w:pPr>
        <w:pStyle w:val="42"/>
        <w:adjustRightInd/>
        <w:spacing w:after="0" w:line="240" w:lineRule="auto"/>
        <w:ind w:firstLine="0" w:firstLineChars="0"/>
        <w:contextualSpacing/>
        <w:jc w:val="center"/>
        <w:rPr>
          <w:rFonts w:hint="default" w:ascii="Times New Roman" w:hAnsi="Times New Roman" w:eastAsia="方正小标宋简体" w:cs="Times New Roman"/>
          <w:bCs/>
          <w:color w:val="auto"/>
          <w:sz w:val="44"/>
          <w:szCs w:val="44"/>
          <w:highlight w:val="none"/>
        </w:rPr>
      </w:pPr>
      <w:bookmarkStart w:id="1" w:name="_Hlk98934835"/>
      <w:r>
        <w:rPr>
          <w:rFonts w:hint="default" w:ascii="Times New Roman" w:hAnsi="Times New Roman" w:eastAsia="方正小标宋简体" w:cs="Times New Roman"/>
          <w:bCs/>
          <w:color w:val="auto"/>
          <w:sz w:val="44"/>
          <w:szCs w:val="44"/>
          <w:highlight w:val="none"/>
        </w:rPr>
        <w:t>泸县高标准农田建设十年规划</w:t>
      </w:r>
    </w:p>
    <w:bookmarkEnd w:id="1"/>
    <w:p>
      <w:pPr>
        <w:pStyle w:val="42"/>
        <w:adjustRightInd/>
        <w:spacing w:after="0" w:line="240" w:lineRule="auto"/>
        <w:ind w:firstLine="0" w:firstLineChars="0"/>
        <w:contextualSpacing/>
        <w:jc w:val="center"/>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rPr>
        <w:t>（2023—2032年）</w:t>
      </w:r>
    </w:p>
    <w:p>
      <w:pPr>
        <w:ind w:firstLine="600"/>
        <w:jc w:val="center"/>
        <w:rPr>
          <w:rFonts w:hint="default" w:ascii="Times New Roman" w:hAnsi="Times New Roman" w:cs="Times New Roman"/>
          <w:bCs/>
          <w:color w:val="auto"/>
          <w:szCs w:val="44"/>
          <w:highlight w:val="none"/>
        </w:rPr>
      </w:pPr>
      <w:bookmarkStart w:id="108" w:name="_GoBack"/>
      <w:bookmarkEnd w:id="108"/>
    </w:p>
    <w:p>
      <w:pPr>
        <w:pStyle w:val="2"/>
        <w:rPr>
          <w:rFonts w:hint="default" w:ascii="Times New Roman" w:hAnsi="Times New Roman" w:cs="Times New Roman"/>
          <w:bCs/>
          <w:color w:val="auto"/>
          <w:szCs w:val="44"/>
          <w:highlight w:val="none"/>
        </w:rPr>
      </w:pPr>
    </w:p>
    <w:p>
      <w:pPr>
        <w:pStyle w:val="2"/>
        <w:rPr>
          <w:rFonts w:hint="default" w:ascii="Times New Roman" w:hAnsi="Times New Roman" w:cs="Times New Roman"/>
          <w:bCs/>
          <w:color w:val="auto"/>
          <w:szCs w:val="44"/>
          <w:highlight w:val="none"/>
        </w:rPr>
      </w:pPr>
    </w:p>
    <w:p>
      <w:pPr>
        <w:pStyle w:val="2"/>
        <w:rPr>
          <w:rFonts w:hint="default" w:ascii="Times New Roman" w:hAnsi="Times New Roman" w:cs="Times New Roman"/>
          <w:bCs/>
          <w:color w:val="auto"/>
          <w:szCs w:val="44"/>
          <w:highlight w:val="none"/>
        </w:rPr>
      </w:pPr>
    </w:p>
    <w:p>
      <w:pPr>
        <w:ind w:firstLine="600"/>
        <w:jc w:val="center"/>
        <w:rPr>
          <w:rFonts w:hint="default" w:ascii="Times New Roman" w:hAnsi="Times New Roman" w:cs="Times New Roman"/>
          <w:bCs/>
          <w:color w:val="auto"/>
          <w:szCs w:val="44"/>
          <w:highlight w:val="none"/>
        </w:rPr>
      </w:pPr>
    </w:p>
    <w:p>
      <w:pPr>
        <w:ind w:firstLine="600"/>
        <w:jc w:val="center"/>
        <w:rPr>
          <w:rFonts w:hint="default" w:ascii="Times New Roman" w:hAnsi="Times New Roman" w:cs="Times New Roman"/>
          <w:bCs/>
          <w:color w:val="auto"/>
          <w:szCs w:val="44"/>
          <w:highlight w:val="none"/>
        </w:rPr>
      </w:pPr>
    </w:p>
    <w:p>
      <w:pPr>
        <w:ind w:firstLine="600"/>
        <w:jc w:val="center"/>
        <w:rPr>
          <w:rFonts w:hint="default" w:ascii="Times New Roman" w:hAnsi="Times New Roman" w:cs="Times New Roman"/>
          <w:bCs/>
          <w:color w:val="auto"/>
          <w:szCs w:val="44"/>
          <w:highlight w:val="none"/>
        </w:rPr>
      </w:pP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pPr>
    </w:p>
    <w:p>
      <w:pPr>
        <w:ind w:firstLine="600"/>
        <w:jc w:val="center"/>
        <w:rPr>
          <w:rFonts w:hint="default" w:ascii="Times New Roman" w:hAnsi="Times New Roman" w:cs="Times New Roman"/>
          <w:bCs/>
          <w:color w:val="auto"/>
          <w:szCs w:val="44"/>
          <w:highlight w:val="none"/>
        </w:rPr>
      </w:pPr>
    </w:p>
    <w:p>
      <w:pPr>
        <w:ind w:firstLine="600"/>
        <w:jc w:val="center"/>
        <w:rPr>
          <w:rFonts w:hint="default" w:ascii="Times New Roman" w:hAnsi="Times New Roman" w:cs="Times New Roman"/>
          <w:bCs/>
          <w:color w:val="auto"/>
          <w:szCs w:val="44"/>
          <w:highlight w:val="none"/>
        </w:rPr>
      </w:pPr>
    </w:p>
    <w:p>
      <w:pPr>
        <w:ind w:firstLine="0" w:firstLineChars="0"/>
        <w:jc w:val="center"/>
        <w:rPr>
          <w:rFonts w:hint="default" w:ascii="Times New Roman" w:hAnsi="Times New Roman" w:eastAsia="楷体_GB2312" w:cs="Times New Roman"/>
          <w:bCs/>
          <w:color w:val="auto"/>
          <w:sz w:val="32"/>
          <w:szCs w:val="32"/>
          <w:highlight w:val="none"/>
        </w:rPr>
      </w:pPr>
      <w:r>
        <w:rPr>
          <w:rFonts w:hint="default" w:ascii="Times New Roman" w:hAnsi="Times New Roman" w:eastAsia="楷体_GB2312" w:cs="Times New Roman"/>
          <w:bCs/>
          <w:color w:val="auto"/>
          <w:sz w:val="32"/>
          <w:szCs w:val="32"/>
          <w:highlight w:val="none"/>
        </w:rPr>
        <w:t>泸县农业农村局</w:t>
      </w:r>
    </w:p>
    <w:p>
      <w:pPr>
        <w:pStyle w:val="42"/>
        <w:overflowPunct w:val="0"/>
        <w:adjustRightInd/>
        <w:spacing w:after="0" w:line="520" w:lineRule="exact"/>
        <w:ind w:firstLine="0" w:firstLineChars="0"/>
        <w:jc w:val="center"/>
        <w:rPr>
          <w:rFonts w:hint="default" w:ascii="Times New Roman" w:hAnsi="Times New Roman" w:eastAsia="楷体_GB2312" w:cs="Times New Roman"/>
          <w:bCs/>
          <w:color w:val="auto"/>
          <w:sz w:val="32"/>
          <w:szCs w:val="32"/>
          <w:highlight w:val="none"/>
        </w:rPr>
      </w:pPr>
      <w:r>
        <w:rPr>
          <w:rFonts w:hint="default" w:ascii="Times New Roman" w:hAnsi="Times New Roman" w:eastAsia="楷体_GB2312" w:cs="Times New Roman"/>
          <w:bCs/>
          <w:color w:val="auto"/>
          <w:sz w:val="32"/>
          <w:szCs w:val="32"/>
          <w:highlight w:val="none"/>
        </w:rPr>
        <w:t>成都新地空间科技有限公司</w:t>
      </w:r>
    </w:p>
    <w:p>
      <w:pPr>
        <w:pStyle w:val="42"/>
        <w:overflowPunct w:val="0"/>
        <w:adjustRightInd/>
        <w:spacing w:after="0" w:line="520" w:lineRule="exact"/>
        <w:ind w:firstLine="0" w:firstLineChars="0"/>
        <w:jc w:val="center"/>
        <w:rPr>
          <w:rFonts w:hint="default" w:ascii="Times New Roman" w:hAnsi="Times New Roman" w:eastAsia="黑体" w:cs="Times New Roman"/>
          <w:bCs/>
          <w:color w:val="auto"/>
          <w:szCs w:val="32"/>
          <w:highlight w:val="none"/>
        </w:rPr>
        <w:sectPr>
          <w:headerReference r:id="rId6" w:type="first"/>
          <w:footerReference r:id="rId9" w:type="first"/>
          <w:footerReference r:id="rId7" w:type="default"/>
          <w:headerReference r:id="rId5" w:type="even"/>
          <w:footerReference r:id="rId8" w:type="even"/>
          <w:type w:val="continuous"/>
          <w:pgSz w:w="11906" w:h="16838"/>
          <w:pgMar w:top="2154" w:right="1417" w:bottom="2041" w:left="1531" w:header="851" w:footer="992" w:gutter="0"/>
          <w:cols w:space="425" w:num="1"/>
          <w:docGrid w:type="lines" w:linePitch="312" w:charSpace="0"/>
        </w:sectPr>
      </w:pPr>
      <w:r>
        <w:rPr>
          <w:rFonts w:hint="default" w:ascii="Times New Roman" w:hAnsi="Times New Roman" w:eastAsia="楷体_GB2312" w:cs="Times New Roman"/>
          <w:bCs/>
          <w:color w:val="auto"/>
          <w:sz w:val="32"/>
          <w:szCs w:val="32"/>
          <w:highlight w:val="none"/>
        </w:rPr>
        <w:t>二〇二三年十一月</w:t>
      </w:r>
    </w:p>
    <w:p>
      <w:pPr>
        <w:pStyle w:val="2"/>
        <w:ind w:firstLine="604"/>
        <w:rPr>
          <w:rFonts w:hint="default" w:ascii="Times New Roman" w:hAnsi="Times New Roman" w:eastAsia="楷体_GB2312" w:cs="Times New Roman"/>
          <w:bCs/>
          <w:color w:val="auto"/>
          <w:highlight w:val="none"/>
        </w:rPr>
      </w:pPr>
    </w:p>
    <w:p>
      <w:pPr>
        <w:ind w:firstLine="484"/>
        <w:jc w:val="center"/>
        <w:rPr>
          <w:rFonts w:hint="default" w:ascii="Times New Roman" w:hAnsi="Times New Roman" w:cs="Times New Roman"/>
          <w:bCs/>
          <w:color w:val="auto"/>
          <w:sz w:val="24"/>
          <w:szCs w:val="24"/>
          <w:highlight w:val="none"/>
        </w:rPr>
        <w:sectPr>
          <w:headerReference r:id="rId12" w:type="first"/>
          <w:footerReference r:id="rId15" w:type="first"/>
          <w:headerReference r:id="rId10" w:type="default"/>
          <w:footerReference r:id="rId13" w:type="default"/>
          <w:headerReference r:id="rId11" w:type="even"/>
          <w:footerReference r:id="rId14" w:type="even"/>
          <w:pgSz w:w="11905" w:h="16838"/>
          <w:pgMar w:top="2154" w:right="1418" w:bottom="2041" w:left="1531" w:header="851" w:footer="1247" w:gutter="0"/>
          <w:pgNumType w:start="1"/>
          <w:cols w:space="0" w:num="1"/>
          <w:docGrid w:type="linesAndChars" w:linePitch="319" w:charSpace="390"/>
        </w:sectPr>
      </w:pPr>
    </w:p>
    <w:p>
      <w:pPr>
        <w:pStyle w:val="93"/>
        <w:ind w:firstLine="804"/>
        <w:jc w:val="center"/>
        <w:rPr>
          <w:rFonts w:hint="default" w:ascii="Times New Roman" w:hAnsi="Times New Roman" w:eastAsia="黑体" w:cs="Times New Roman"/>
          <w:bCs/>
          <w:color w:val="auto"/>
          <w:sz w:val="40"/>
          <w:szCs w:val="40"/>
          <w:highlight w:val="none"/>
        </w:rPr>
      </w:pPr>
      <w:bookmarkStart w:id="2" w:name="_Toc10561"/>
      <w:bookmarkStart w:id="3" w:name="_Toc434316552"/>
      <w:bookmarkStart w:id="4" w:name="_Toc56422132"/>
      <w:bookmarkStart w:id="5" w:name="_Toc56354077"/>
      <w:bookmarkStart w:id="6" w:name="_Toc433097918"/>
      <w:r>
        <w:rPr>
          <w:rFonts w:hint="default" w:ascii="Times New Roman" w:hAnsi="Times New Roman" w:eastAsia="黑体" w:cs="Times New Roman"/>
          <w:bCs/>
          <w:color w:val="auto"/>
          <w:sz w:val="40"/>
          <w:szCs w:val="40"/>
          <w:highlight w:val="none"/>
        </w:rPr>
        <w:t>目  录</w:t>
      </w:r>
      <w:bookmarkEnd w:id="2"/>
      <w:bookmarkEnd w:id="3"/>
      <w:bookmarkEnd w:id="4"/>
      <w:bookmarkEnd w:id="5"/>
      <w:bookmarkEnd w:id="6"/>
    </w:p>
    <w:p>
      <w:pPr>
        <w:pStyle w:val="29"/>
        <w:tabs>
          <w:tab w:val="right" w:leader="dot" w:pos="8890"/>
        </w:tabs>
        <w:spacing w:before="0" w:after="0" w:line="400" w:lineRule="exact"/>
        <w:ind w:firstLine="644"/>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b w:val="0"/>
          <w:color w:val="auto"/>
          <w:sz w:val="32"/>
          <w:szCs w:val="32"/>
          <w:highlight w:val="none"/>
        </w:rPr>
        <w:fldChar w:fldCharType="begin"/>
      </w:r>
      <w:r>
        <w:rPr>
          <w:rFonts w:hint="default" w:ascii="Times New Roman" w:hAnsi="Times New Roman" w:cs="Times New Roman"/>
          <w:b w:val="0"/>
          <w:color w:val="auto"/>
          <w:sz w:val="32"/>
          <w:szCs w:val="32"/>
          <w:highlight w:val="none"/>
        </w:rPr>
        <w:instrText xml:space="preserve"> TOC \o "1-2" \h \z \u </w:instrText>
      </w:r>
      <w:r>
        <w:rPr>
          <w:rFonts w:hint="default" w:ascii="Times New Roman" w:hAnsi="Times New Roman" w:cs="Times New Roman"/>
          <w:b w:val="0"/>
          <w:color w:val="auto"/>
          <w:sz w:val="32"/>
          <w:szCs w:val="32"/>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"_Toc150285129"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前  言</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_Toc150285129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1</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"_Toc150285130"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第一章  发展形势</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_Toc150285130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3</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"_Toc150285131"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一、重大意义</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_Toc150285131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"_Toc150285132"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二、建设成效</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_Toc150285132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4</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"_Toc150285133"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三、主要问题</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_Toc150285133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6</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"_Toc150285134"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四、有利条件</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_Toc150285134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"_Toc150285135"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第二章 规划基础</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_Toc150285135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11</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"_Toc150285136"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一、县域基本概况</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_Toc150285136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11</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"_Toc150285137"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二、土地利用现状</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_Toc150285137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15</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"_Toc150285138"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三、永久基本农田现状</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_Toc150285138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17</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"_Toc150285139"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四、农业基础设施</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_Toc150285139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20</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"_Toc150285140"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第三章  总体要求</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_Toc150285140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24</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"_Toc150285141"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一、指导思想</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_Toc150285141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24</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"_Toc150285142"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二、基本原则</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_Toc150285142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24</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"_Toc150285143"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三、建设目标</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_Toc150285143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26</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"_Toc150285144"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第四章  建设标准与内容</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_Toc150285144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28</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"_Toc150285145"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一、田块整治工程</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_Toc150285145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28</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"_Toc150285146"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二、土壤改良与培肥工程</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_Toc150285146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29</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"_Toc150285147"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三、灌溉与排水工程</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_Toc150285147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29</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"_Toc150285148"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四、田间道路工程</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_Toc150285148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30</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"_Toc150285149"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五、农田防护和生态环境保护工程</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_Toc150285149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30</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"_Toc150285150"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六、农田输配电工程</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_Toc150285150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31</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"_Toc150285151"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七、科技服务</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_Toc150285151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31</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"_Toc150285152"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八、管护利用</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_Toc150285152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31</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"_Toc150285153"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九、体制机制</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_Toc150285153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32</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"_Toc150285154"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第五章  建设分区及建设重点</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_Toc150285154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33</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"_Toc150285155"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一、建设分区</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_Toc150285155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33</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"_Toc150285156"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二、建设重点</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_Toc150285156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39</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"_Toc150285157"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第六章  建设任务和示范建设</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_Toc150285157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42</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"_Toc150285158"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一、建设任务</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_Toc150285158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42</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"_Toc150285159"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二、主要建设内容</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_Toc150285159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56</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"_Toc150285160"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三、示范建设</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_Toc150285160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62</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"_Toc150285161"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第七章  投资测算与资金筹措</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_Toc150285161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63</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"_Toc150285162"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一、投资测算</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_Toc150285162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63</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"_Toc150285163"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二、资金筹措</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_Toc150285163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70</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"_Toc150285164"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第八章  建设管理与管护利用</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_Toc150285164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71</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"_Toc150285165"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一、规范建设程序</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_Toc150285165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71</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"_Toc150285166"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二、强化质量管理</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_Toc150285166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75</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"_Toc150285167"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三、规范竣工验收</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_Toc150285167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75</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"_Toc150285168"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四、统一上图入库</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_Toc150285168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76</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"_Toc150285169"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五、强化建后管护</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_Toc150285169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76</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"_Toc150285170"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六、严格保护利用</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_Toc150285170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78</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"_Toc150285171"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第九章  效益分析</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_Toc150285171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80</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"_Toc150285172"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一、经济效益</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_Toc150285172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80</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"_Toc150285173"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二、社会效益</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_Toc150285173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81</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"_Toc150285174"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三、生态效益</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_Toc150285174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82</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"_Toc150285175"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第十章  保障措施</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_Toc150285175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83</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"_Toc150285176"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一、组织保障</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_Toc150285176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83</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"_Toc150285177"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二、资金保障</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_Toc150285177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83</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"_Toc150285178"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三、人才保障</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_Toc150285178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84</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"_Toc150285179"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四、科技支撑</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_Toc150285179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85</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"_Toc150285180"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五、政策保障</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_Toc150285180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85</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29"/>
        <w:tabs>
          <w:tab w:val="right" w:leader="dot" w:pos="8890"/>
        </w:tabs>
        <w:spacing w:before="0" w:after="0" w:line="400" w:lineRule="exact"/>
        <w:ind w:firstLine="405"/>
        <w:rPr>
          <w:rFonts w:hint="default" w:ascii="Times New Roman" w:hAnsi="Times New Roman" w:cs="Times New Roman"/>
          <w:b w:val="0"/>
          <w: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"_Toc150285181"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 w:val="0"/>
          <w:color w:val="auto"/>
          <w:sz w:val="24"/>
          <w:szCs w:val="24"/>
          <w:highlight w:val="none"/>
        </w:rPr>
        <w:t>附 件</w:t>
      </w:r>
      <w:r>
        <w:rPr>
          <w:rFonts w:hint="default" w:ascii="Times New Roman" w:hAnsi="Times New Roman" w:cs="Times New Roman"/>
          <w:b w:val="0"/>
          <w:color w:val="auto"/>
          <w:sz w:val="24"/>
          <w:szCs w:val="24"/>
          <w:highlight w:val="none"/>
        </w:rPr>
        <w:tab/>
      </w:r>
      <w:r>
        <w:rPr>
          <w:rFonts w:hint="default" w:ascii="Times New Roman" w:hAnsi="Times New Roman" w:cs="Times New Roman"/>
          <w:b w:val="0"/>
          <w:color w:val="auto"/>
          <w:sz w:val="24"/>
          <w:szCs w:val="24"/>
          <w:highlight w:val="none"/>
        </w:rPr>
        <w:fldChar w:fldCharType="begin"/>
      </w:r>
      <w:r>
        <w:rPr>
          <w:rFonts w:hint="default" w:ascii="Times New Roman" w:hAnsi="Times New Roman" w:cs="Times New Roman"/>
          <w:b w:val="0"/>
          <w:color w:val="auto"/>
          <w:sz w:val="24"/>
          <w:szCs w:val="24"/>
          <w:highlight w:val="none"/>
        </w:rPr>
        <w:instrText xml:space="preserve"> PAGEREF _Toc150285181 \h </w:instrText>
      </w:r>
      <w:r>
        <w:rPr>
          <w:rFonts w:hint="default" w:ascii="Times New Roman" w:hAnsi="Times New Roman" w:cs="Times New Roman"/>
          <w:b w:val="0"/>
          <w:color w:val="auto"/>
          <w:sz w:val="24"/>
          <w:szCs w:val="24"/>
          <w:highlight w:val="none"/>
        </w:rPr>
        <w:fldChar w:fldCharType="separate"/>
      </w:r>
      <w:r>
        <w:rPr>
          <w:rFonts w:hint="default" w:ascii="Times New Roman" w:hAnsi="Times New Roman" w:cs="Times New Roman"/>
          <w:b w:val="0"/>
          <w:color w:val="auto"/>
          <w:sz w:val="24"/>
          <w:szCs w:val="24"/>
          <w:highlight w:val="none"/>
        </w:rPr>
        <w:t>87</w:t>
      </w:r>
      <w:r>
        <w:rPr>
          <w:rFonts w:hint="default" w:ascii="Times New Roman" w:hAnsi="Times New Roman" w:cs="Times New Roman"/>
          <w:b w:val="0"/>
          <w:color w:val="auto"/>
          <w:sz w:val="24"/>
          <w:szCs w:val="24"/>
          <w:highlight w:val="none"/>
        </w:rPr>
        <w:fldChar w:fldCharType="end"/>
      </w:r>
      <w:r>
        <w:rPr>
          <w:rFonts w:hint="default" w:ascii="Times New Roman" w:hAnsi="Times New Roman" w:cs="Times New Roman"/>
          <w:b w:val="0"/>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bCs/>
          <w:smallCaps w:val="0"/>
          <w:color w:val="auto"/>
          <w:kern w:val="2"/>
          <w:sz w:val="24"/>
          <w:szCs w:val="24"/>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"_Toc150285182"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一、附表</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_Toc150285182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87</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pStyle w:val="35"/>
        <w:tabs>
          <w:tab w:val="right" w:leader="dot" w:pos="8890"/>
        </w:tabs>
        <w:spacing w:line="400" w:lineRule="exact"/>
        <w:ind w:firstLine="404"/>
        <w:rPr>
          <w:rFonts w:hint="default" w:ascii="Times New Roman" w:hAnsi="Times New Roman" w:cs="Times New Roman" w:eastAsiaTheme="minorEastAsia"/>
          <w:bCs/>
          <w:smallCaps w:val="0"/>
          <w:color w:val="auto"/>
          <w:kern w:val="2"/>
          <w:sz w:val="21"/>
          <w:szCs w:val="22"/>
          <w:highlight w:val="none"/>
          <w14:ligatures w14:val="standardContextual"/>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"_Toc150285183" </w:instrText>
      </w:r>
      <w:r>
        <w:rPr>
          <w:rFonts w:hint="default" w:ascii="Times New Roman" w:hAnsi="Times New Roman" w:cs="Times New Roman"/>
          <w:color w:val="auto"/>
          <w:highlight w:val="none"/>
        </w:rPr>
        <w:fldChar w:fldCharType="separate"/>
      </w:r>
      <w:r>
        <w:rPr>
          <w:rStyle w:val="52"/>
          <w:rFonts w:hint="default" w:ascii="Times New Roman" w:hAnsi="Times New Roman" w:cs="Times New Roman"/>
          <w:bCs/>
          <w:color w:val="auto"/>
          <w:sz w:val="24"/>
          <w:szCs w:val="24"/>
          <w:highlight w:val="none"/>
        </w:rPr>
        <w:t>二、附图</w:t>
      </w:r>
      <w:r>
        <w:rPr>
          <w:rFonts w:hint="default" w:ascii="Times New Roman" w:hAnsi="Times New Roman" w:cs="Times New Roman"/>
          <w:bCs/>
          <w:color w:val="auto"/>
          <w:sz w:val="24"/>
          <w:szCs w:val="24"/>
          <w:highlight w:val="none"/>
        </w:rPr>
        <w:tab/>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PAGEREF _Toc150285183 \h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bCs/>
          <w:color w:val="auto"/>
          <w:sz w:val="24"/>
          <w:szCs w:val="24"/>
          <w:highlight w:val="none"/>
        </w:rPr>
        <w:t>87</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fldChar w:fldCharType="end"/>
      </w:r>
    </w:p>
    <w:p>
      <w:pPr>
        <w:tabs>
          <w:tab w:val="right" w:leader="dot" w:pos="8820"/>
        </w:tabs>
        <w:adjustRightInd/>
        <w:spacing w:line="400" w:lineRule="exact"/>
        <w:ind w:firstLine="644"/>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32"/>
          <w:szCs w:val="32"/>
          <w:highlight w:val="none"/>
        </w:rPr>
        <w:fldChar w:fldCharType="end"/>
      </w:r>
    </w:p>
    <w:p>
      <w:pPr>
        <w:pStyle w:val="3"/>
        <w:keepNext w:val="0"/>
        <w:keepLines w:val="0"/>
        <w:tabs>
          <w:tab w:val="left" w:pos="600"/>
          <w:tab w:val="right" w:leader="dot" w:pos="9072"/>
        </w:tabs>
        <w:adjustRightInd w:val="0"/>
        <w:snapToGrid w:val="0"/>
        <w:spacing w:before="312" w:after="312" w:line="360" w:lineRule="auto"/>
        <w:ind w:firstLine="160" w:firstLineChars="50"/>
        <w:jc w:val="left"/>
        <w:rPr>
          <w:rFonts w:hint="default" w:ascii="Times New Roman" w:hAnsi="Times New Roman" w:cs="Times New Roman"/>
          <w:bCs/>
          <w:color w:val="auto"/>
          <w:kern w:val="0"/>
          <w:sz w:val="32"/>
          <w:szCs w:val="32"/>
          <w:highlight w:val="none"/>
        </w:rPr>
        <w:sectPr>
          <w:footerReference r:id="rId16" w:type="default"/>
          <w:footerReference r:id="rId17" w:type="even"/>
          <w:pgSz w:w="11905" w:h="16838"/>
          <w:pgMar w:top="1417" w:right="1418" w:bottom="1701" w:left="1587" w:header="851" w:footer="1247" w:gutter="0"/>
          <w:pgNumType w:fmt="upperRoman" w:start="1"/>
          <w:cols w:space="0" w:num="1"/>
          <w:docGrid w:type="linesAndChars" w:linePitch="319" w:charSpace="390"/>
        </w:sectPr>
      </w:pPr>
      <w:bookmarkStart w:id="7" w:name="_Toc278963857"/>
    </w:p>
    <w:p>
      <w:pPr>
        <w:pStyle w:val="3"/>
        <w:rPr>
          <w:rFonts w:hint="default" w:ascii="Times New Roman" w:hAnsi="Times New Roman" w:cs="Times New Roman"/>
          <w:bCs/>
          <w:color w:val="auto"/>
          <w:highlight w:val="none"/>
        </w:rPr>
      </w:pPr>
      <w:bookmarkStart w:id="8" w:name="_Toc23781"/>
      <w:bookmarkStart w:id="9" w:name="_Toc150285129"/>
      <w:r>
        <w:rPr>
          <w:rFonts w:hint="default" w:ascii="Times New Roman" w:hAnsi="Times New Roman" w:cs="Times New Roman"/>
          <w:bCs/>
          <w:color w:val="auto"/>
          <w:highlight w:val="none"/>
        </w:rPr>
        <w:t>前  言</w:t>
      </w:r>
      <w:bookmarkEnd w:id="7"/>
      <w:bookmarkEnd w:id="8"/>
      <w:bookmarkEnd w:id="9"/>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粮食安全是“国之大者”，耕地是粮食生产的命根子。建设高标准农田是巩固和提升粮食生产能力、保障粮食安全的关键举措，也是农民增收的基础保障。党中央、国务院高度重视高标准农田建设，习近平总书记指出：中国人的饭碗要牢牢端在自己手里，而且里面应该主要装中国粮；农田就是农田，而且必须是良田；要突出抓好耕地保护和地力提升，坚定不移抓好高标准农田建设，提高建设标准和质量，真正实现旱涝保收、高产稳产；要抓住耕地和种子两个要害，坚决守住18亿亩耕地红线，逐步把永久基本农田全部建成高标准农田。</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十二五”以来，泸县深入贯彻落实党中央、国务院，省委、省政府决策部署，扎实推动“藏粮于地、藏粮于技”战略，持续建设高标准农田，为粮食安全和重要农产品有效供给提供了有力支撑。截至2022年底，全县108.86万亩耕地上已建成高标准农田75.24万亩，其中：98.07万亩永久基本农田内建成高标准农田47.91万亩，为保障粮食安全和促进农民持续增收作出了重要贡献。</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2019年，中央1号文件明确提出“实施新一轮高标准农田建设规划”。按照《全国高标准农田建设规划（2021—2030年）》和《四川省高标准农田建设规划（2021—2030年）》、《泸州市高标准农田建设规划（2023—2032年）》要求，根据农业农村部、四川省农业农村厅编制高标准农田建设规划的有关规定，在县委、县政府领导下，以永久基本农田为核心，坚持新建和改造提升并重，县农业农村局组织编制了《泸县高标准农田建设规划（2023—2032年）》（以下简称《规划》），到2032年逐步有序把全县符合立项条件的永久基本农田全部建成高标准农田。</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《规划》以国家、四川省、泸州市高标准农田建设规划为统揽，紧密衔接《泸县国民经济和社会发展第十四个五年规划和二〇三五年远景目标纲要》、《泸县国土空间总体规划（2021</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2035年）》、《泸县乡村振兴战略规划》、《泸县“十四五”水利发展规划》等相关规划，在全县永久基本农田内高标准农田清查情况的基础上，总结了近年来全县高标准农田建设取得的成效，分析了当前面临的形势，提出了2023—2032年全县高标准农田建设的总体目标、建设标准、建设分区、建设任务、建设监管、资金筹措、效益分析和保障措施等。《规划》是指导我县2023—2032年科学有序开展高标准农田建设的重要依据。</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规划基准期为2022年，规划期限为2023—2032年。国家和省、市对高标准农田建设有新规定的，从其规定。</w:t>
      </w:r>
    </w:p>
    <w:p>
      <w:pPr>
        <w:pStyle w:val="2"/>
        <w:overflowPunct w:val="0"/>
        <w:spacing w:after="0" w:line="560" w:lineRule="exact"/>
        <w:ind w:firstLine="604"/>
        <w:rPr>
          <w:rFonts w:hint="default" w:ascii="Times New Roman" w:hAnsi="Times New Roman" w:cs="Times New Roman"/>
          <w:bCs/>
          <w:color w:val="auto"/>
          <w:szCs w:val="30"/>
          <w:highlight w:val="none"/>
          <w:lang w:bidi="he-IL"/>
        </w:rPr>
      </w:pPr>
    </w:p>
    <w:p>
      <w:pPr>
        <w:pStyle w:val="2"/>
        <w:overflowPunct w:val="0"/>
        <w:spacing w:after="0"/>
        <w:ind w:firstLine="604"/>
        <w:rPr>
          <w:rFonts w:hint="default" w:ascii="Times New Roman" w:hAnsi="Times New Roman" w:cs="Times New Roman"/>
          <w:bCs/>
          <w:color w:val="auto"/>
          <w:szCs w:val="32"/>
          <w:highlight w:val="none"/>
          <w:lang w:bidi="he-IL"/>
        </w:rPr>
        <w:sectPr>
          <w:footerReference r:id="rId18" w:type="default"/>
          <w:pgSz w:w="11905" w:h="16838"/>
          <w:pgMar w:top="2154" w:right="1418" w:bottom="2041" w:left="1531" w:header="851" w:footer="1247" w:gutter="0"/>
          <w:pgNumType w:start="1"/>
          <w:cols w:space="0" w:num="1"/>
          <w:docGrid w:type="linesAndChars" w:linePitch="319" w:charSpace="390"/>
        </w:sectPr>
      </w:pPr>
    </w:p>
    <w:p>
      <w:pPr>
        <w:pStyle w:val="3"/>
        <w:rPr>
          <w:rFonts w:hint="default" w:ascii="Times New Roman" w:hAnsi="Times New Roman" w:cs="Times New Roman"/>
          <w:bCs/>
          <w:color w:val="auto"/>
          <w:highlight w:val="none"/>
        </w:rPr>
      </w:pPr>
      <w:bookmarkStart w:id="10" w:name="_Toc31089"/>
      <w:bookmarkStart w:id="11" w:name="_Toc150285130"/>
      <w:r>
        <w:rPr>
          <w:rFonts w:hint="default" w:ascii="Times New Roman" w:hAnsi="Times New Roman" w:cs="Times New Roman"/>
          <w:bCs/>
          <w:color w:val="auto"/>
          <w:highlight w:val="none"/>
        </w:rPr>
        <w:t xml:space="preserve">第一章  </w:t>
      </w:r>
      <w:bookmarkEnd w:id="10"/>
      <w:r>
        <w:rPr>
          <w:rFonts w:hint="default" w:ascii="Times New Roman" w:hAnsi="Times New Roman" w:cs="Times New Roman"/>
          <w:bCs/>
          <w:color w:val="auto"/>
          <w:highlight w:val="none"/>
        </w:rPr>
        <w:t>发展形势</w:t>
      </w:r>
      <w:bookmarkEnd w:id="11"/>
    </w:p>
    <w:p>
      <w:pPr>
        <w:pStyle w:val="4"/>
        <w:ind w:firstLine="560"/>
        <w:rPr>
          <w:rFonts w:hint="default" w:ascii="Times New Roman" w:hAnsi="Times New Roman" w:cs="Times New Roman"/>
          <w:color w:val="auto"/>
          <w:highlight w:val="none"/>
        </w:rPr>
      </w:pPr>
      <w:bookmarkStart w:id="12" w:name="_Toc150285131"/>
      <w:r>
        <w:rPr>
          <w:rFonts w:hint="default" w:ascii="Times New Roman" w:hAnsi="Times New Roman" w:cs="Times New Roman"/>
          <w:color w:val="auto"/>
          <w:highlight w:val="none"/>
        </w:rPr>
        <w:t>一、重大意义</w:t>
      </w:r>
      <w:bookmarkEnd w:id="12"/>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（一）高标准农田建设是保障粮食安全底线的重要举措。</w:t>
      </w:r>
      <w:r>
        <w:rPr>
          <w:rFonts w:hint="default" w:ascii="Times New Roman" w:hAnsi="Times New Roman" w:cs="Times New Roman"/>
          <w:bCs/>
          <w:color w:val="auto"/>
          <w:highlight w:val="none"/>
        </w:rPr>
        <w:t>泸县是全国粮食生产先进县，全省粮食生产大县，省“丰收杯”获奖县，水稻种植面积在全省排名第四位，总产和单产均居全省第一位。随着经济社会发展和生态文明建设的推进，我县耕地保护形势日趋严峻，在粮食生产的刚性约束越来越突出的背景下，必须加强高标准农田建设，弥补耕地数量不足，进一步提高耕地质量、利用率和产出效益，为夯实国家粮食安全基础提供坚实地支撑。</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（二）高标准农田建设是改善农业基础设施条件的重要手段。</w:t>
      </w:r>
      <w:r>
        <w:rPr>
          <w:rFonts w:hint="default" w:ascii="Times New Roman" w:hAnsi="Times New Roman" w:cs="Times New Roman"/>
          <w:bCs/>
          <w:color w:val="auto"/>
          <w:highlight w:val="none"/>
        </w:rPr>
        <w:t>我县农田基础设施薄弱状况尚未得到根本改变，耕地基础地力不高的现状客观存在。要改变农业“靠天吃饭”的局面，必须大力推进高标准农田建设，强化田网、渠网、路网配套，持续改善农业基础设施条件，不断提升农田排灌能力、土壤培肥能力和农机作业能力，为现代农业的规模化种植、机械化耕作、标准化生产和产业化经营创造良好条件。</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（三）高标准农田建设是推进农业现代化的重要支撑。</w:t>
      </w:r>
      <w:r>
        <w:rPr>
          <w:rFonts w:hint="default" w:ascii="Times New Roman" w:hAnsi="Times New Roman" w:cs="Times New Roman"/>
          <w:bCs/>
          <w:color w:val="auto"/>
          <w:highlight w:val="none"/>
        </w:rPr>
        <w:t>我县属典型的丘区，丘陵占比大，耕地碎片化程度高，难以开展规模化、集约化生产经营。要加快现代农业发展进程，必须通过建设高标准农田，实行田、土、水、路、林、电、技、管、制综合治理，实现“田成方、路成网、沟相通、渠相连、旱能灌、涝能排、地肥沃”，有效提高农田复种指数和产出效率，促进土地流转和适度规模经营，推动农业转型升级和高质量发展，不断提升农业现代化水平。</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（四）高标准农田建设是实现乡村振兴的重要保障。</w:t>
      </w:r>
      <w:r>
        <w:rPr>
          <w:rFonts w:hint="default" w:ascii="Times New Roman" w:hAnsi="Times New Roman" w:cs="Times New Roman"/>
          <w:bCs/>
          <w:color w:val="auto"/>
          <w:highlight w:val="none"/>
        </w:rPr>
        <w:t>我县产业发展水平和质量效益有待提升，要优化生产结构，完善产业体系，必须大力加强高标准农田建设，改善农业生产条件，将昔日的“望天田”“斗笠田”变成阡陌纵横的“万亩田”“高产田”，有效推动农业规模化、集约化、专业化。大力推广高效节水灌溉技术，减少农业面源污染，促进山水林田湖草整体保护和农村环境连片整治，为乡村产业振兴、建设生态宜居乡村及巩固和拓展脱贫攻坚成果奠定坚实基础。</w:t>
      </w:r>
    </w:p>
    <w:p>
      <w:pPr>
        <w:pStyle w:val="4"/>
        <w:ind w:firstLine="560"/>
        <w:rPr>
          <w:rFonts w:hint="default" w:ascii="Times New Roman" w:hAnsi="Times New Roman" w:cs="Times New Roman"/>
          <w:color w:val="auto"/>
          <w:highlight w:val="none"/>
        </w:rPr>
      </w:pPr>
      <w:bookmarkStart w:id="13" w:name="_Toc150285132"/>
      <w:r>
        <w:rPr>
          <w:rFonts w:hint="default" w:ascii="Times New Roman" w:hAnsi="Times New Roman" w:cs="Times New Roman"/>
          <w:color w:val="auto"/>
          <w:highlight w:val="none"/>
        </w:rPr>
        <w:t>二、建设成效</w:t>
      </w:r>
      <w:bookmarkEnd w:id="13"/>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（一）主要成效。</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粮食综合生产能力显著提升。自2011年以来，全县按照统一规划、统一标准、集中投入、共同建设的原则，强力推进高标准基本农田建设工作，截止2022年底，全县累计完成75.24万亩高标准农田建设任务，占全县耕地总面积69.12%左右（其中：98.07万亩永久基本农田内建成高标准农田47.91万亩，占永久基本农田总面积的48.85%）。通过完善农田基础设施，改善农业生产条件，增强了农田防灾抗灾减灾能力，巩固和提升了粮食综合生产能力；通过增施有机肥、秸秆还田、畜禽粪污综合利用等技术的推广应用，持续培肥地力，耕地质量等级和粮食生产能力逐年提升。建成后的高标准农田，亩均粮食产能增加10%左右，为泸县粮食连续多年丰收提供了重要支撑。</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表1-1 泸县已建高标准农田建设分镇汇总表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83"/>
        <w:gridCol w:w="1646"/>
        <w:gridCol w:w="998"/>
        <w:gridCol w:w="2084"/>
        <w:gridCol w:w="2084"/>
        <w:gridCol w:w="8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tblHeader/>
        </w:trPr>
        <w:tc>
          <w:tcPr>
            <w:tcW w:w="80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行政区</w:t>
            </w:r>
          </w:p>
        </w:tc>
        <w:tc>
          <w:tcPr>
            <w:tcW w:w="89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耕地面积</w:t>
            </w:r>
          </w:p>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（万亩）</w:t>
            </w:r>
          </w:p>
        </w:tc>
        <w:tc>
          <w:tcPr>
            <w:tcW w:w="2816" w:type="pct"/>
            <w:gridSpan w:val="3"/>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已建高标准农田面积（万亩）</w:t>
            </w:r>
          </w:p>
        </w:tc>
        <w:tc>
          <w:tcPr>
            <w:tcW w:w="479"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7" w:hRule="atLeast"/>
          <w:tblHeader/>
        </w:trPr>
        <w:tc>
          <w:tcPr>
            <w:tcW w:w="8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897"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2011—2018年</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2019—2022年</w:t>
            </w:r>
          </w:p>
        </w:tc>
        <w:tc>
          <w:tcPr>
            <w:tcW w:w="47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3.79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0.90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6.43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3.98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3.35</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3.77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4.51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4.21</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5.00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3.57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3.27</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5.66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4.71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4.71</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5.19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4.88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4.04</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3.69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9.35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5.20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8.54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4.81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4.06</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0.75</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4.82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2.85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2.85</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4.97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3.53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1.53</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5.13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2.29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1.49</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5.48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2.77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2.77</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6.22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2.96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2.12</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8.08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6.60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4.47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3.30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6.40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5.51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2.64</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2.87</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3.12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1.94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1.94</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5.68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4.72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3.92</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3.07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2.81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89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108.86 </w:t>
            </w:r>
          </w:p>
        </w:tc>
        <w:tc>
          <w:tcPr>
            <w:tcW w:w="54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75.24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59.27 </w:t>
            </w:r>
          </w:p>
        </w:tc>
        <w:tc>
          <w:tcPr>
            <w:tcW w:w="113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15.97 </w:t>
            </w:r>
          </w:p>
        </w:tc>
        <w:tc>
          <w:tcPr>
            <w:tcW w:w="47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农田生态环境明显改善。高标准农田通过田块整治、沟渠配套、节水灌溉、林网建设和集成推广绿色农业技术等措施，调整优化了农田生态格局，增强了农田生态防护能力，减少了农田水土流失，提高了农业生产投入品利用率，降低了农业面源污染，保护了农田生态环境。建成后的高标准农田，农业绿色发展水平显著提高，节水、节电、节肥、节药效果明显，促进了山水林田湖草整体保护和农村环境连片整治，也为实现生态宜居打下了坚实基础。</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农业生产方式转型升级明显加快。高标准农田通过集中连片开展田块整治、土壤改良、配套设施建设等措施，解决了耕地碎片化、质量下降、设施不配套等问题，有效促进了农业规模化、标准化、专业化经营，带动了农业机械化提档升级，提高了水土资源利用效率和土地产出率，加快了新型农业经营主体培育，推动了农业经营方式、生产方式、资源利用方式的转变，有效提高了农业综合效益和竞争力。</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体制机制改革持续完善。结合两项改革“后半篇”文章，通过改革和试点，初步建立了多元化的农田水利设施产权制度和有利于农田水利发展的建设、管理机制，实现农田水利设施“产权明晰、权责落实、经费保障、管用得到、持续发展”的总目标。通过实行建管一体化、建立项目建设管理公开、公示制度、探索完善项目建设方式、探索完善项目补助方式、产权确权和移交、搞活经营权、鼓励和扶持农民用水合作组织发展等7个改革试点工作，充分发挥了其在运行维护、水费计收等方面的作用。有效的推进了农业水价改革，确定了泸县小型灌区农业水价收费标准。成立了农民用水合作组织251个，实现县镇村组水利工程管理人员全覆盖，切实做到工程设施管护有台账、有主体、有人员、有资金、有标准、有督导，彻底改变“重建轻管”的情况，保证了工程设施运行良好、工程效益长效发挥，为粮食安全保驾护航。</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农民增收致富渠道明显拓宽。高标准农田建设通过完善农田基础设施、提升耕地质量、改善农业生产条件，降低了农业生产成本、提高了产出效率、增加了土地流转收入，显著提高农业生产综合效益，平均每亩节本增效约300~500元，有效增加了农民生产经营性收入。</w:t>
      </w:r>
    </w:p>
    <w:p>
      <w:pPr>
        <w:pStyle w:val="4"/>
        <w:ind w:firstLine="560"/>
        <w:rPr>
          <w:rFonts w:hint="default" w:ascii="Times New Roman" w:hAnsi="Times New Roman" w:cs="Times New Roman"/>
          <w:color w:val="auto"/>
          <w:highlight w:val="none"/>
        </w:rPr>
      </w:pPr>
      <w:bookmarkStart w:id="14" w:name="_Toc98928880"/>
      <w:bookmarkStart w:id="15" w:name="_Toc150285133"/>
      <w:r>
        <w:rPr>
          <w:rFonts w:hint="default" w:ascii="Times New Roman" w:hAnsi="Times New Roman" w:cs="Times New Roman"/>
          <w:color w:val="auto"/>
          <w:highlight w:val="none"/>
        </w:rPr>
        <w:t>三、主要问题</w:t>
      </w:r>
      <w:bookmarkEnd w:id="14"/>
      <w:bookmarkEnd w:id="15"/>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（一）建设任务重。</w:t>
      </w:r>
      <w:r>
        <w:rPr>
          <w:rFonts w:hint="default" w:ascii="Times New Roman" w:hAnsi="Times New Roman" w:cs="Times New Roman"/>
          <w:bCs/>
          <w:color w:val="auto"/>
          <w:highlight w:val="none"/>
        </w:rPr>
        <w:t>截至2022年底，全县已建成高标准农田仅占永久基本农田总面积的48.85%，农业基础设施薄弱、抗灾能力不强、耕地质量不高、田块细碎化等问题尚未得到有效改善。按照逐步把符合立项条件的永久基本农田全部建成高标准农田的要求，到2032年，我县还需新建高标准农田43.95万亩，建设任务艰巨。</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（二）建设标准偏低。</w:t>
      </w:r>
      <w:r>
        <w:rPr>
          <w:rFonts w:hint="default" w:ascii="Times New Roman" w:hAnsi="Times New Roman" w:cs="Times New Roman"/>
          <w:bCs/>
          <w:color w:val="auto"/>
          <w:highlight w:val="none"/>
        </w:rPr>
        <w:t>2011—2018年全县已建成的高标准农田中，达到或基本达到旱涝保收、宜机作业、稳产高产标准的不足二分之一，尚有36.21万亩已建成高标准农田需要提质改造。同时，集中连片、施工条件较好的地块越来越少，建设难度不断增大。</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（三）投资标准低。</w:t>
      </w:r>
      <w:r>
        <w:rPr>
          <w:rFonts w:hint="default" w:ascii="Times New Roman" w:hAnsi="Times New Roman" w:cs="Times New Roman"/>
          <w:bCs/>
          <w:color w:val="auto"/>
          <w:highlight w:val="none"/>
        </w:rPr>
        <w:t>全县高标准农田亩均财政投入已提高到3000元以上。据测算，丘陵的亩均建设成本需5000元以上，全县绝大部分永久基本农田分布在丘陵，随着高标准农田建设的持续推进，建设成本将不断提高，现行投资标准难以达到国家和省上建设标准要求。</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（四）建后管护机制有待加强。</w:t>
      </w:r>
      <w:r>
        <w:rPr>
          <w:rFonts w:hint="default" w:ascii="Times New Roman" w:hAnsi="Times New Roman" w:cs="Times New Roman"/>
          <w:bCs/>
          <w:color w:val="auto"/>
          <w:highlight w:val="none"/>
        </w:rPr>
        <w:t>农田建设三分建、七分管。目前，我县部分区域依然存在重建设、轻管护的问题，未能有效落实管护责任，管护措施和手段薄弱，后续监测评价和跟踪督导机制不完善，日常管护不到位，设施设备损毁后得不到及时有效修复，常年带病运行，工程使用年限明显缩短。</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（五）绿色发展需进一步加强。</w:t>
      </w:r>
      <w:r>
        <w:rPr>
          <w:rFonts w:hint="default" w:ascii="Times New Roman" w:hAnsi="Times New Roman" w:cs="Times New Roman"/>
          <w:bCs/>
          <w:color w:val="auto"/>
          <w:highlight w:val="none"/>
        </w:rPr>
        <w:t>早期建设的高标准农田侧重产能提升而对改善农田生态环境重视不够，在高标准农田项目设计、施工各环节，未能充分体现绿色发展理念，存在简单硬化沟渠道路等影响生态环境的问题。加之因缺乏与良种良法良机良制等措施的有效融合，一些高标准农田建成后，仍然沿用传统粗放的生产方式，资源消耗强度大，耕地质量提升不明显，支撑现代农业绿色发展的作用未能充分发挥。</w:t>
      </w:r>
    </w:p>
    <w:p>
      <w:pPr>
        <w:pStyle w:val="4"/>
        <w:ind w:firstLine="560"/>
        <w:rPr>
          <w:rFonts w:hint="default" w:ascii="Times New Roman" w:hAnsi="Times New Roman" w:cs="Times New Roman"/>
          <w:color w:val="auto"/>
          <w:highlight w:val="none"/>
        </w:rPr>
      </w:pPr>
      <w:bookmarkStart w:id="16" w:name="_Toc98928881"/>
      <w:bookmarkStart w:id="17" w:name="_Toc150285134"/>
      <w:r>
        <w:rPr>
          <w:rFonts w:hint="default" w:ascii="Times New Roman" w:hAnsi="Times New Roman" w:cs="Times New Roman"/>
          <w:color w:val="auto"/>
          <w:highlight w:val="none"/>
        </w:rPr>
        <w:t>四、有利条件</w:t>
      </w:r>
      <w:bookmarkEnd w:id="16"/>
      <w:bookmarkEnd w:id="17"/>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（一）党中央、国务院高度重视高标准农田建设。</w:t>
      </w:r>
      <w:r>
        <w:rPr>
          <w:rFonts w:hint="default" w:ascii="Times New Roman" w:hAnsi="Times New Roman" w:cs="Times New Roman"/>
          <w:bCs/>
          <w:color w:val="auto"/>
          <w:highlight w:val="none"/>
        </w:rPr>
        <w:t>党中央、国务院高度重视高标准农田建设工作，党的二十大报告、中央农村工作会议、中央一号文件分别就逐步把永久基本农田全部建成高标准农田进行了安排部署。国务院将农田建设作为落实粮食安全省长责任制重要内容，明确粮食安全实行党政同责，并纳入国务院督查激励的30项措施，层层压实建设责任。全国每年召开冬春农田水利基本建设电视电话会议，统筹部署推动农田建设工作。随着成渝地区双城经济圈、成渝高效特色农业带、西部大开发、“一带一路”、长江经济带等战略的深入实施，必将为高标准农田建设提供更多有利政策机遇。</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（二）县委县政府高度重视。</w:t>
      </w:r>
      <w:r>
        <w:rPr>
          <w:rFonts w:hint="default" w:ascii="Times New Roman" w:hAnsi="Times New Roman" w:cs="Times New Roman"/>
          <w:bCs/>
          <w:color w:val="auto"/>
          <w:highlight w:val="none"/>
        </w:rPr>
        <w:t>泸县县委、县政府高度重视高标准农田建设工作，成</w:t>
      </w:r>
      <w:bookmarkStart w:id="18" w:name="_Hlk100127755"/>
      <w:r>
        <w:rPr>
          <w:rFonts w:hint="default" w:ascii="Times New Roman" w:hAnsi="Times New Roman" w:cs="Times New Roman"/>
          <w:bCs/>
          <w:color w:val="auto"/>
          <w:highlight w:val="none"/>
        </w:rPr>
        <w:t>立了由县长任指挥长，分管县长为常务副指挥长、县政府办公室、县发展和改革局、县财政局、县自然资源和规划局、县交通运输局和县农业农村局为成员的高标准农田建设指挥部，负责全县高标准农田建设推进工作</w:t>
      </w:r>
      <w:bookmarkEnd w:id="18"/>
      <w:r>
        <w:rPr>
          <w:rFonts w:hint="default" w:ascii="Times New Roman" w:hAnsi="Times New Roman" w:cs="Times New Roman"/>
          <w:bCs/>
          <w:color w:val="auto"/>
          <w:highlight w:val="none"/>
        </w:rPr>
        <w:t>。领导小组下设办公室，办公室主任由县农业农村局主要负责同志担任，负责落实领导小组工作安排和高标准农田建设推进日常工作。项目建设在“泸县高标准农田建设工作领导小组”统一领导下进行，项目镇成立相应机构，明确专人，具体负责辖区统筹协调、安全稳定、质量监督等，包括格田平整区土地集中收回及完成后分户下划，青苗占地、管线搬迁、群众协调，稳定维稳，组建镇、村、组及部分群众参与质量监督小组等。成立了泸县高标准农田建设项目专家技术组，加强对泸县高标准农田建设项目的技术指导工作。项目所在镇成立以镇（街道）主要领导任组长，分管农业副镇长任副组长，农技、水利、农机、林业、财政等有关部门负责人为成员的项目实施领导小组，领导小组下设办公室，由主管农业副镇长兼任办公室主任并负责日常工作。</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（三）粮油绿色高质发展成效凸显。</w:t>
      </w:r>
      <w:r>
        <w:rPr>
          <w:rFonts w:hint="default" w:ascii="Times New Roman" w:hAnsi="Times New Roman" w:cs="Times New Roman"/>
          <w:bCs/>
          <w:color w:val="auto"/>
          <w:highlight w:val="none"/>
        </w:rPr>
        <w:t>泸县围绕全县“4+2”现代农业产业体系，优化特色产业空间布局，已建成省级五星现代农业园区1个、市级园区3个、县级园区8个，1个省级酿酒专用粮核心示范区，1个20万亩国家级现代龙眼示范区，粮油绿色高质高效示范区6万亩，</w:t>
      </w:r>
      <w:bookmarkStart w:id="19" w:name="_Hlk100045131"/>
      <w:r>
        <w:rPr>
          <w:rFonts w:hint="default" w:ascii="Times New Roman" w:hAnsi="Times New Roman" w:cs="Times New Roman"/>
          <w:bCs/>
          <w:color w:val="auto"/>
          <w:highlight w:val="none"/>
        </w:rPr>
        <w:t>有力确保了全县粮食安全。</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（四）高标准农田建设基础扎实</w:t>
      </w:r>
      <w:bookmarkEnd w:id="19"/>
      <w:r>
        <w:rPr>
          <w:rFonts w:hint="default" w:ascii="Times New Roman" w:hAnsi="Times New Roman" w:eastAsia="楷体_GB2312" w:cs="Times New Roman"/>
          <w:bCs/>
          <w:color w:val="auto"/>
          <w:highlight w:val="none"/>
        </w:rPr>
        <w:t>。</w:t>
      </w:r>
      <w:r>
        <w:rPr>
          <w:rFonts w:hint="default" w:ascii="Times New Roman" w:hAnsi="Times New Roman" w:cs="Times New Roman"/>
          <w:bCs/>
          <w:color w:val="auto"/>
          <w:highlight w:val="none"/>
        </w:rPr>
        <w:t>泸县高度重视高标准农田建设工作。2011年以来，按照“田块整治、道路相通、沟渠相连、桥涵配套、农田作业机械化、农田防护林网化、农业设施现代化”的标准建设高标准农田，累计建设高标准农田75.24万亩。耕地质量和生产条件得到了极大改善，农业产业实现了从“好的不多、多的不好”到“业态丰富、优质高效”的历史性转变，高标准农田建设取得了明显成效，多次获得上级领导和部门的表扬和肯定。泸县通过建设，项目区基本形成“田成块、坡成梯、路成网、林成行、旱能灌、涝能排”的农业生态系统。</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（五）新型经营主体持续壮大。</w:t>
      </w:r>
      <w:r>
        <w:rPr>
          <w:rFonts w:hint="default" w:ascii="Times New Roman" w:hAnsi="Times New Roman" w:cs="Times New Roman"/>
          <w:bCs/>
          <w:color w:val="auto"/>
          <w:highlight w:val="none"/>
        </w:rPr>
        <w:t>高标准农田的建设提高了项目区生产条件和耕地质量，能满足新型经营主体发展现代农业的要求。截至目前，泸县已有市级以上重点龙头企业29家（其中省级重点龙头企业4家），家庭农场1674个、农民合作社541个、种养大户3000余户、新型经营主体带头人500人，辐射带动农户26万户。</w:t>
      </w:r>
    </w:p>
    <w:p>
      <w:pPr>
        <w:ind w:firstLine="600"/>
        <w:rPr>
          <w:rFonts w:hint="default" w:ascii="Times New Roman" w:hAnsi="Times New Roman" w:eastAsia="方正小标宋简体" w:cs="Times New Roman"/>
          <w:bCs/>
          <w:color w:val="auto"/>
          <w:kern w:val="44"/>
          <w:sz w:val="44"/>
          <w:szCs w:val="44"/>
          <w:highlight w:val="none"/>
        </w:rPr>
      </w:pPr>
      <w:r>
        <w:rPr>
          <w:rFonts w:hint="default" w:ascii="Times New Roman" w:hAnsi="Times New Roman" w:eastAsia="楷体_GB2312" w:cs="Times New Roman"/>
          <w:bCs/>
          <w:color w:val="auto"/>
          <w:highlight w:val="none"/>
        </w:rPr>
        <w:t>（六）土地流转明显加快，规模经营效果显著。</w:t>
      </w:r>
      <w:r>
        <w:rPr>
          <w:rFonts w:hint="default" w:ascii="Times New Roman" w:hAnsi="Times New Roman" w:cs="Times New Roman"/>
          <w:bCs/>
          <w:color w:val="auto"/>
          <w:highlight w:val="none"/>
        </w:rPr>
        <w:t>高标准农田的建设，显著提高了项目区机械化作业水平和土地利用率。通过积极引导，近年来全县农村土地经营权有序流转，流转方式多样化，带动了农业各产业迅猛发展。泸县成为全省首例农村土地经营流转上市的县。土地流转取得了明显的规模效应，不仅增加了农户的财产性收入，而且解决了谁来种地、怎么种地的问题，增加了发展集体经济渠道，壮大了村集体经济。</w:t>
      </w:r>
      <w:r>
        <w:rPr>
          <w:rFonts w:hint="default" w:ascii="Times New Roman" w:hAnsi="Times New Roman" w:eastAsia="方正小标宋简体" w:cs="Times New Roman"/>
          <w:bCs/>
          <w:color w:val="auto"/>
          <w:sz w:val="44"/>
          <w:highlight w:val="none"/>
        </w:rPr>
        <w:br w:type="page"/>
      </w:r>
    </w:p>
    <w:p>
      <w:pPr>
        <w:pStyle w:val="3"/>
        <w:rPr>
          <w:rFonts w:hint="default" w:ascii="Times New Roman" w:hAnsi="Times New Roman" w:cs="Times New Roman"/>
          <w:bCs/>
          <w:color w:val="auto"/>
          <w:highlight w:val="none"/>
        </w:rPr>
      </w:pPr>
      <w:bookmarkStart w:id="20" w:name="_Toc150285135"/>
      <w:r>
        <w:rPr>
          <w:rFonts w:hint="default" w:ascii="Times New Roman" w:hAnsi="Times New Roman" w:cs="Times New Roman"/>
          <w:bCs/>
          <w:color w:val="auto"/>
          <w:highlight w:val="none"/>
        </w:rPr>
        <w:t>第二章 规划基础</w:t>
      </w:r>
      <w:bookmarkEnd w:id="20"/>
    </w:p>
    <w:p>
      <w:pPr>
        <w:pStyle w:val="4"/>
        <w:ind w:firstLine="560"/>
        <w:rPr>
          <w:rFonts w:hint="default" w:ascii="Times New Roman" w:hAnsi="Times New Roman" w:cs="Times New Roman"/>
          <w:color w:val="auto"/>
          <w:highlight w:val="none"/>
        </w:rPr>
      </w:pPr>
      <w:bookmarkStart w:id="21" w:name="_Toc150285136"/>
      <w:r>
        <w:rPr>
          <w:rFonts w:hint="default" w:ascii="Times New Roman" w:hAnsi="Times New Roman" w:cs="Times New Roman"/>
          <w:color w:val="auto"/>
          <w:highlight w:val="none"/>
        </w:rPr>
        <w:t>一、县域基本概况</w:t>
      </w:r>
      <w:bookmarkEnd w:id="21"/>
    </w:p>
    <w:p>
      <w:pPr>
        <w:ind w:firstLine="600"/>
        <w:rPr>
          <w:rFonts w:hint="default" w:ascii="Times New Roman" w:hAnsi="Times New Roman" w:eastAsia="楷体_GB2312" w:cs="Times New Roman"/>
          <w:bCs/>
          <w:color w:val="auto"/>
          <w:highlight w:val="none"/>
        </w:rPr>
      </w:pPr>
      <w:bookmarkStart w:id="22" w:name="_Toc98928884"/>
      <w:bookmarkStart w:id="23" w:name="_Toc2780"/>
      <w:r>
        <w:rPr>
          <w:rFonts w:hint="default" w:ascii="Times New Roman" w:hAnsi="Times New Roman" w:eastAsia="楷体_GB2312" w:cs="Times New Roman"/>
          <w:bCs/>
          <w:color w:val="auto"/>
          <w:highlight w:val="none"/>
        </w:rPr>
        <w:t>（一）地理区位。</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泸县隶属泸州，位于四川南部、长江上游，东与重庆市永川区、泸州市合江县连界，南与泸州市龙马潭区和江阳区相邻，西与自贡市富顺县接壤，北与重庆市荣昌县和内江市隆昌县相连。地理坐标介于东经105°10′05″~105°45′30″，北纬28°54′40″~29°20′00″之间。</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泸县区位优越、交通便捷，历来是区域物资集散地和川南经济文化中心。泸县地处成渝双城经济圈重要节点和川渝滇黔结合部核心腹地，</w:t>
      </w:r>
      <w:r>
        <w:rPr>
          <w:rFonts w:hint="eastAsia" w:cs="Times New Roman"/>
          <w:bCs/>
          <w:color w:val="auto"/>
          <w:highlight w:val="none"/>
          <w:lang w:eastAsia="zh-CN"/>
        </w:rPr>
        <w:t>是</w:t>
      </w:r>
      <w:r>
        <w:rPr>
          <w:rFonts w:hint="default" w:ascii="Times New Roman" w:hAnsi="Times New Roman" w:cs="Times New Roman"/>
          <w:bCs/>
          <w:color w:val="auto"/>
          <w:highlight w:val="none"/>
        </w:rPr>
        <w:t>西南出海大通道桥头节点和长江经济带和丝绸之路重要节点，目前已经完全融入成都2小时经济圈和重庆1小时经济圈。</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（二）自然条件</w:t>
      </w:r>
      <w:bookmarkEnd w:id="22"/>
      <w:r>
        <w:rPr>
          <w:rFonts w:hint="default" w:ascii="Times New Roman" w:hAnsi="Times New Roman" w:cs="Times New Roman"/>
          <w:bCs/>
          <w:color w:val="auto"/>
          <w:highlight w:val="none"/>
        </w:rPr>
        <w:t>。</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1．地形地貌。泸县位于四川盆地东南部低山、浅丘地带，总体地势南高北低。境内地貌有</w:t>
      </w:r>
      <w:bookmarkStart w:id="24" w:name="_Hlk148434694"/>
      <w:r>
        <w:rPr>
          <w:rFonts w:hint="default" w:ascii="Times New Roman" w:hAnsi="Times New Roman" w:cs="Times New Roman"/>
          <w:bCs/>
          <w:color w:val="auto"/>
          <w:highlight w:val="none"/>
        </w:rPr>
        <w:t>低山深丘、中丘中窄谷、浅丘宽谷、河谷阶地</w:t>
      </w:r>
      <w:bookmarkEnd w:id="24"/>
      <w:r>
        <w:rPr>
          <w:rFonts w:hint="default" w:ascii="Times New Roman" w:hAnsi="Times New Roman" w:cs="Times New Roman"/>
          <w:bCs/>
          <w:color w:val="auto"/>
          <w:highlight w:val="none"/>
        </w:rPr>
        <w:t>四种形态，分别占幅员面积的7%、27%、60.5%和5.5%。地势东北高、西南低，最高点（万寿山最高峰）海拔757.7m，最低点（新路）海拔218m，高低相差539.7m。全县约有66%的土地分布在海拔350m以下区域。</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气候条件。泸县属四川盆地南缘长江上游中亚热带温湿季风气候区，具有降雨量充沛、气候温和、光照一般、无霜期长、雨热同季，冬暖春旱、盛夏炎热的特点。根据泸县气象站多年统计数据，泸县多年平均气温17.5℃，极端最高42.7℃，最低-2.4℃。多年平均年降雨量1048.9mm，暴雨一般出现在5～9月，平均降水量为795mm。其中6～8月出现大暴雨的机会最多，平均每年出现暴雨3～4次，最多达7次。平均相对湿度84%，平均日照1322.7小时，常年主导风向NW，平均风速1.2m/s，最大风速15m/s，静风频率44%。霜期短，年均无霜期为341d。</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3．水资源。泸县地处长江以北，河流均属于长江水系。以长江为主干，形成极不对称的树枝状溪河，支流密布，源远流长。全县主要溪河流域面积大于100km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有7条，分别是长江、沱江、濑溪河、九曲河、马溪河、龙溪河、大鹿溪；流域面积在30~100km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的有9条，分别是小鹿溪、怀安河、太和溪、仁和溪、云龙沟、玉河沟、猫儿沟、喻家河、鹤鸣沟；流域面积在9~30km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的有8条，分别是瓦厂溪、李市河、泥溪、盐水溪、宋观沟、漏孔溪、纺线溪、海潮河。</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泸县多年平均地表水资源量为6.24亿m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，相应径流深为408.9mm，径流深低于四川省平均值。多年平均地下水资源量为1.25亿m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，占四川省地下水资源量的2.32%，地下水资源量模数为8.20万m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/km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。多年平均水资源总量为6.24亿m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，多年平均产水系数0.39，低于四川省平均值，产水模数为40.92万m</w:t>
      </w:r>
      <w:r>
        <w:rPr>
          <w:rFonts w:hint="default" w:ascii="Times New Roman" w:hAnsi="Times New Roman" w:cs="Times New Roman"/>
          <w:bCs/>
          <w:color w:val="auto"/>
          <w:highlight w:val="none"/>
          <w:vertAlign w:val="superscript"/>
        </w:rPr>
        <w:t>3</w:t>
      </w:r>
      <w:r>
        <w:rPr>
          <w:rFonts w:hint="default" w:ascii="Times New Roman" w:hAnsi="Times New Roman" w:cs="Times New Roman"/>
          <w:bCs/>
          <w:color w:val="auto"/>
          <w:highlight w:val="none"/>
        </w:rPr>
        <w:t>/km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drawing>
          <wp:anchor distT="0" distB="0" distL="114300" distR="114300" simplePos="0" relativeHeight="251659264" behindDoc="0" locked="0" layoutInCell="1" allowOverlap="1">
            <wp:simplePos x="0" y="0"/>
            <wp:positionH relativeFrom="column">
              <wp:posOffset>57150</wp:posOffset>
            </wp:positionH>
            <wp:positionV relativeFrom="paragraph">
              <wp:posOffset>155575</wp:posOffset>
            </wp:positionV>
            <wp:extent cx="5274310" cy="3510280"/>
            <wp:effectExtent l="0" t="0" r="3175" b="0"/>
            <wp:wrapTopAndBottom/>
            <wp:docPr id="14997593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930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000" cy="3510000"/>
                    </a:xfrm>
                    <a:prstGeom prst="rect">
                      <a:avLst/>
                    </a:prstGeom>
                  </pic:spPr>
                </pic:pic>
              </a:graphicData>
            </a:graphic>
          </wp:anchor>
        </w:drawing>
      </w:r>
      <w:r>
        <w:rPr>
          <w:rFonts w:hint="default" w:ascii="Times New Roman" w:hAnsi="Times New Roman" w:cs="Times New Roman"/>
          <w:bCs/>
          <w:color w:val="auto"/>
          <w:sz w:val="28"/>
          <w:szCs w:val="28"/>
          <w:highlight w:val="none"/>
        </w:rPr>
        <w:t>图2-1 泸县水系图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土壤类型、耕地质量。根据第二次土壤普查，全县土壤类型有水稻土、潮土、紫色土、黄壤等四个主要土壤类型。根据全县2021年全县耕地质量调查结果，全县耕地质量差异较大，耕地质量平均等级值域为3.31~7.38，其中：嘉明镇耕地质量平均等级为3.31，质量最优；玉蟾街道次之，平均等级为3.74；毗卢镇耕地质量最差，平均等级为7.38。从各乡镇的耕地质量等级分布情况来看，嘉明镇、玉蟾街道、喻寺镇、牛滩镇耕地质量较好，平均等级在四等以上；其余乡镇耕地质量处于中等水平。</w:t>
      </w:r>
    </w:p>
    <w:p>
      <w:pPr>
        <w:pStyle w:val="2"/>
        <w:spacing w:after="60"/>
        <w:ind w:firstLine="0" w:firstLineChars="0"/>
        <w:jc w:val="center"/>
        <w:rPr>
          <w:rFonts w:hint="default" w:ascii="Times New Roman" w:hAnsi="Times New Roman" w:cs="Times New Roman"/>
          <w:bCs/>
          <w:color w:val="auto"/>
          <w:sz w:val="28"/>
          <w:szCs w:val="28"/>
          <w:highlight w:val="none"/>
        </w:rPr>
      </w:pP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pPr>
    </w:p>
    <w:tbl>
      <w:tblPr>
        <w:tblStyle w:val="44"/>
        <w:tblW w:w="8686" w:type="dxa"/>
        <w:tblInd w:w="0" w:type="dxa"/>
        <w:tblLayout w:type="autofit"/>
        <w:tblCellMar>
          <w:top w:w="0" w:type="dxa"/>
          <w:left w:w="108" w:type="dxa"/>
          <w:bottom w:w="0" w:type="dxa"/>
          <w:right w:w="108" w:type="dxa"/>
        </w:tblCellMar>
      </w:tblPr>
      <w:tblGrid>
        <w:gridCol w:w="4343"/>
        <w:gridCol w:w="4343"/>
      </w:tblGrid>
      <w:tr>
        <w:tblPrEx>
          <w:tblCellMar>
            <w:top w:w="0" w:type="dxa"/>
            <w:left w:w="108" w:type="dxa"/>
            <w:bottom w:w="0" w:type="dxa"/>
            <w:right w:w="108" w:type="dxa"/>
          </w:tblCellMar>
        </w:tblPrEx>
        <w:trPr>
          <w:trHeight w:val="5953" w:hRule="atLeast"/>
        </w:trPr>
        <w:tc>
          <w:tcPr>
            <w:tcW w:w="4343" w:type="dxa"/>
            <w:tcBorders>
              <w:top w:val="nil"/>
              <w:left w:val="nil"/>
              <w:bottom w:val="nil"/>
              <w:right w:val="nil"/>
            </w:tcBorders>
            <w:shd w:val="clear" w:color="auto" w:fill="auto"/>
            <w:noWrap/>
            <w:vAlign w:val="center"/>
          </w:tcPr>
          <w:p>
            <w:pPr>
              <w:widowControl/>
              <w:adjustRightInd/>
              <w:spacing w:line="240" w:lineRule="auto"/>
              <w:ind w:firstLine="560"/>
              <w:jc w:val="left"/>
              <w:textAlignment w:val="auto"/>
              <w:rPr>
                <w:rFonts w:hint="default" w:ascii="Times New Roman" w:hAnsi="Times New Roman" w:eastAsia="Times New Roman" w:cs="Times New Roman"/>
                <w:color w:val="auto"/>
                <w:sz w:val="20"/>
                <w:szCs w:val="24"/>
                <w:highlight w:val="none"/>
              </w:rPr>
            </w:pPr>
            <w:r>
              <w:rPr>
                <w:rFonts w:hint="default" w:ascii="Times New Roman" w:hAnsi="Times New Roman" w:cs="Times New Roman"/>
                <w:bCs/>
                <w:color w:val="auto"/>
                <w:sz w:val="28"/>
                <w:szCs w:val="28"/>
                <w:highlight w:val="none"/>
              </w:rPr>
              <w:drawing>
                <wp:anchor distT="0" distB="0" distL="114300" distR="114300" simplePos="0" relativeHeight="251663360" behindDoc="0" locked="0" layoutInCell="1" allowOverlap="1">
                  <wp:simplePos x="0" y="0"/>
                  <wp:positionH relativeFrom="margin">
                    <wp:posOffset>-64135</wp:posOffset>
                  </wp:positionH>
                  <wp:positionV relativeFrom="margin">
                    <wp:posOffset>-12065</wp:posOffset>
                  </wp:positionV>
                  <wp:extent cx="2812415" cy="3493770"/>
                  <wp:effectExtent l="0" t="0" r="6985" b="0"/>
                  <wp:wrapTopAndBottom/>
                  <wp:docPr id="205806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610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t="6977" b="5750"/>
                          <a:stretch>
                            <a:fillRect/>
                          </a:stretch>
                        </pic:blipFill>
                        <pic:spPr>
                          <a:xfrm>
                            <a:off x="0" y="0"/>
                            <a:ext cx="2812415" cy="3493770"/>
                          </a:xfrm>
                          <a:prstGeom prst="rect">
                            <a:avLst/>
                          </a:prstGeom>
                          <a:noFill/>
                          <a:ln>
                            <a:noFill/>
                          </a:ln>
                        </pic:spPr>
                      </pic:pic>
                    </a:graphicData>
                  </a:graphic>
                </wp:anchor>
              </w:drawing>
            </w:r>
            <w:r>
              <w:rPr>
                <w:rFonts w:hint="default" w:ascii="Times New Roman" w:hAnsi="Times New Roman" w:cs="Times New Roman"/>
                <w:bCs/>
                <w:color w:val="auto"/>
                <w:sz w:val="28"/>
                <w:szCs w:val="28"/>
                <w:highlight w:val="none"/>
              </w:rPr>
              <w:t>图2-2 泸县土壤类型分布图</w:t>
            </w:r>
          </w:p>
        </w:tc>
        <w:tc>
          <w:tcPr>
            <w:tcW w:w="4343" w:type="dxa"/>
            <w:tcBorders>
              <w:top w:val="nil"/>
              <w:left w:val="nil"/>
              <w:bottom w:val="nil"/>
              <w:right w:val="nil"/>
            </w:tcBorders>
            <w:shd w:val="clear" w:color="auto" w:fill="auto"/>
            <w:noWrap/>
            <w:vAlign w:val="center"/>
          </w:tcPr>
          <w:p>
            <w:pPr>
              <w:pStyle w:val="2"/>
              <w:spacing w:after="60"/>
              <w:ind w:firstLine="0" w:firstLineChars="0"/>
              <w:jc w:val="center"/>
              <w:rPr>
                <w:rFonts w:hint="default" w:ascii="Times New Roman" w:hAnsi="Times New Roman" w:eastAsia="Times New Roman" w:cs="Times New Roman"/>
                <w:color w:val="auto"/>
                <w:sz w:val="20"/>
                <w:highlight w:val="none"/>
              </w:rPr>
            </w:pPr>
            <w:r>
              <w:rPr>
                <w:rFonts w:hint="default" w:ascii="Times New Roman" w:hAnsi="Times New Roman" w:cs="Times New Roman"/>
                <w:bCs/>
                <w:color w:val="auto"/>
                <w:sz w:val="28"/>
                <w:szCs w:val="28"/>
                <w:highlight w:val="none"/>
              </w:rPr>
              <w:drawing>
                <wp:anchor distT="0" distB="0" distL="114300" distR="114300" simplePos="0" relativeHeight="251664384" behindDoc="0" locked="0" layoutInCell="1" allowOverlap="1">
                  <wp:simplePos x="0" y="0"/>
                  <wp:positionH relativeFrom="column">
                    <wp:posOffset>-41275</wp:posOffset>
                  </wp:positionH>
                  <wp:positionV relativeFrom="paragraph">
                    <wp:posOffset>-3495675</wp:posOffset>
                  </wp:positionV>
                  <wp:extent cx="2788920" cy="3503930"/>
                  <wp:effectExtent l="0" t="0" r="0" b="1270"/>
                  <wp:wrapSquare wrapText="bothSides"/>
                  <wp:docPr id="4814238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23898"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t="7611" b="5235"/>
                          <a:stretch>
                            <a:fillRect/>
                          </a:stretch>
                        </pic:blipFill>
                        <pic:spPr>
                          <a:xfrm>
                            <a:off x="0" y="0"/>
                            <a:ext cx="2788920" cy="3503930"/>
                          </a:xfrm>
                          <a:prstGeom prst="rect">
                            <a:avLst/>
                          </a:prstGeom>
                          <a:noFill/>
                          <a:ln>
                            <a:noFill/>
                          </a:ln>
                        </pic:spPr>
                      </pic:pic>
                    </a:graphicData>
                  </a:graphic>
                </wp:anchor>
              </w:drawing>
            </w:r>
            <w:r>
              <w:rPr>
                <w:rFonts w:hint="default" w:ascii="Times New Roman" w:hAnsi="Times New Roman" w:cs="Times New Roman"/>
                <w:bCs/>
                <w:color w:val="auto"/>
                <w:sz w:val="28"/>
                <w:szCs w:val="28"/>
                <w:highlight w:val="none"/>
              </w:rPr>
              <w:t>图2-3 泸县耕地质量等级分布图</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自然灾害。项目区的自然灾害主要有大风、暴雨、干旱、洪涝等。项目区是一般风害区，暴雨一般出现在4—10月份，尤以七、八月最多，内涝是项目区农业生产主要灾害天气之一，发生的次数频繁，对农业生产的危害很大，经常造成农作物减产，而干旱也少有发生。</w:t>
      </w:r>
    </w:p>
    <w:p>
      <w:pPr>
        <w:ind w:firstLine="600"/>
        <w:rPr>
          <w:rFonts w:hint="default" w:ascii="Times New Roman" w:hAnsi="Times New Roman" w:eastAsia="楷体_GB2312" w:cs="Times New Roman"/>
          <w:bCs/>
          <w:color w:val="auto"/>
          <w:highlight w:val="none"/>
        </w:rPr>
      </w:pPr>
      <w:bookmarkStart w:id="25" w:name="_Toc98928885"/>
      <w:r>
        <w:rPr>
          <w:rFonts w:hint="default" w:ascii="Times New Roman" w:hAnsi="Times New Roman" w:eastAsia="楷体_GB2312" w:cs="Times New Roman"/>
          <w:bCs/>
          <w:color w:val="auto"/>
          <w:highlight w:val="none"/>
        </w:rPr>
        <w:t>（二）社会经济状况</w:t>
      </w:r>
      <w:bookmarkEnd w:id="25"/>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1．人口与劳力。全县幅员面积1525平方公里，现有常住人口76.5万人，其中，乡村人口43.6万人；乡镇行政区划和村级建制调整后辖19个镇、1个街道办事处、251个行政村和54个社区。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地方财政与农民收入。2022年全年实现地区生产总值475.2亿元，其中：第一产业实现增加值72.3亿元，第二产业265.2亿元，第三产业137.6亿元，三次产业结构15.2：55.8：29.0。全年财政总收入42.6亿元。全年农村居民人均可支配收入23450元，同比增长6.5%。</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农业生产现状：近年来，全县粮食安全保障能力稳步提升，2022年，全县粮食作物播种面积129.3万亩，粮食总产量54.1万吨，其中：水稻播种面积56.1万亩，产量32.6万吨；玉米播种面积21.7万亩，产量8.5万吨；高粱播种面积7.7万亩，产量2.5万吨。主要粮食作物良种覆盖率达到80%以上。在粮油作物栽培及机械化推广方面，县农业农村局在项目区推广水稻强化栽培示范、再生稻示范、早育秧、集中育秧、玉米地膜覆盖、油菜高产栽培等技术，大力推广水稻、油菜全程机械化。</w:t>
      </w:r>
    </w:p>
    <w:p>
      <w:pPr>
        <w:pStyle w:val="4"/>
        <w:ind w:firstLine="560"/>
        <w:rPr>
          <w:rFonts w:hint="default" w:ascii="Times New Roman" w:hAnsi="Times New Roman" w:cs="Times New Roman"/>
          <w:color w:val="auto"/>
          <w:highlight w:val="none"/>
        </w:rPr>
      </w:pPr>
      <w:bookmarkStart w:id="26" w:name="_Toc150285137"/>
      <w:r>
        <w:rPr>
          <w:rFonts w:hint="default" w:ascii="Times New Roman" w:hAnsi="Times New Roman" w:cs="Times New Roman"/>
          <w:color w:val="auto"/>
          <w:highlight w:val="none"/>
        </w:rPr>
        <w:t>二、土地利用现状</w:t>
      </w:r>
      <w:bookmarkEnd w:id="26"/>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泸县第三次国土调查成果公报，全县土地面积为152525.89公顷，其中：耕地72414.46公顷（108.86万亩）；种植园用地3927.07公顷（5.89万亩）；林地27537.67公顷（41.31万亩）；草地104.06公顷（0.16万亩）；湿地52.03公顷（0.08万亩）；城镇村及工矿用地21942.54公顷（32.91万亩）；交通运输用地3844.96公顷（5.77万亩）；水域及水利设施用地10858.23公顷（16.29万亩）。</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全县耕地面积108.86万亩，其中玉蟾街道3.79万亩；福集镇6.43万亩；嘉明镇3.77万亩；喻寺镇5万亩；得胜镇5.66万亩；牛滩镇5.19万亩；兆雅镇3.69万亩；玄滩镇9.35万亩；太伏镇8.54万亩；云龙镇4.82万亩；石桥镇4.97万亩；毗卢镇5.13万亩；奇峰镇5.48万亩；潮河镇6.22万亩；云锦镇8.08万亩；立石镇4.47万亩；百和镇6.4万亩；天兴镇3.12万亩；方洞镇5.68万亩；海潮镇3.07万亩。</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表2-1 泸县分镇耕地面积表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567"/>
        <w:gridCol w:w="5086"/>
        <w:gridCol w:w="15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atLeast"/>
          <w:tblHeader/>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行政区</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耕地面积（万亩）</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6.43</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5.66</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5.19</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3.69</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9.35</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8.54</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4.82</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5.13</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5.48</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6.22</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8.08</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3.12</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5.68</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9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27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108.86</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anchor distT="0" distB="0" distL="114300" distR="114300" simplePos="0" relativeHeight="251665408" behindDoc="0" locked="0" layoutInCell="1" allowOverlap="1">
            <wp:simplePos x="0" y="0"/>
            <wp:positionH relativeFrom="column">
              <wp:posOffset>388620</wp:posOffset>
            </wp:positionH>
            <wp:positionV relativeFrom="page">
              <wp:posOffset>5581650</wp:posOffset>
            </wp:positionV>
            <wp:extent cx="4794885" cy="3488690"/>
            <wp:effectExtent l="0" t="0" r="5715" b="0"/>
            <wp:wrapSquare wrapText="bothSides"/>
            <wp:docPr id="17051020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02072" name="图片 2"/>
                    <pic:cNvPicPr>
                      <a:picLocks noChangeAspect="1"/>
                    </pic:cNvPicPr>
                  </pic:nvPicPr>
                  <pic:blipFill>
                    <a:blip r:embed="rId27" cstate="print">
                      <a:extLst>
                        <a:ext uri="{28A0092B-C50C-407E-A947-70E740481C1C}">
                          <a14:useLocalDpi xmlns:a14="http://schemas.microsoft.com/office/drawing/2010/main" val="0"/>
                        </a:ext>
                      </a:extLst>
                    </a:blip>
                    <a:srcRect l="1264" r="1577"/>
                    <a:stretch>
                      <a:fillRect/>
                    </a:stretch>
                  </pic:blipFill>
                  <pic:spPr>
                    <a:xfrm>
                      <a:off x="0" y="0"/>
                      <a:ext cx="4794885" cy="3488690"/>
                    </a:xfrm>
                    <a:prstGeom prst="rect">
                      <a:avLst/>
                    </a:prstGeom>
                    <a:ln>
                      <a:noFill/>
                    </a:ln>
                  </pic:spPr>
                </pic:pic>
              </a:graphicData>
            </a:graphic>
          </wp:anchor>
        </w:drawing>
      </w:r>
    </w:p>
    <w:p>
      <w:pPr>
        <w:pStyle w:val="2"/>
        <w:ind w:firstLine="600"/>
        <w:jc w:val="center"/>
        <w:rPr>
          <w:rFonts w:hint="default" w:ascii="Times New Roman" w:hAnsi="Times New Roman" w:cs="Times New Roman"/>
          <w:bCs/>
          <w:color w:val="auto"/>
          <w:highlight w:val="none"/>
        </w:rPr>
      </w:pP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图2-4 泸县耕地分布图</w:t>
      </w:r>
    </w:p>
    <w:p>
      <w:pPr>
        <w:pStyle w:val="4"/>
        <w:ind w:firstLine="560"/>
        <w:rPr>
          <w:rFonts w:hint="default" w:ascii="Times New Roman" w:hAnsi="Times New Roman" w:cs="Times New Roman"/>
          <w:color w:val="auto"/>
          <w:highlight w:val="none"/>
        </w:rPr>
      </w:pPr>
      <w:bookmarkStart w:id="27" w:name="_Toc150285138"/>
      <w:r>
        <w:rPr>
          <w:rFonts w:hint="default" w:ascii="Times New Roman" w:hAnsi="Times New Roman" w:cs="Times New Roman"/>
          <w:color w:val="auto"/>
          <w:highlight w:val="none"/>
        </w:rPr>
        <w:t>三、永久基本农田现状</w:t>
      </w:r>
      <w:bookmarkEnd w:id="27"/>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全县永久基本农田98.07万亩，占耕地面积的90.09%，其中：玉蟾街道3.79万亩；福集镇6.43万亩；嘉明镇3.77万亩；喻寺镇5.00万亩；得胜镇5.66万亩；牛滩镇5.19万亩；兆雅镇3.69万亩；玄滩镇9.35万亩；太伏镇8.54万亩；云龙镇4.82万亩；石桥镇4.97万亩；毗卢镇5.13万亩；奇峰镇5.48万亩；潮河镇6.22万亩；云锦镇8.08万亩；立石镇4.77万亩；百和镇6.40万亩；天兴镇3.12万亩；方洞镇5.68万亩；海潮镇3.07万亩。</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全县98.07万亩永久基本农田内，已建成高标准农田47.91万亩，尚有50.17万亩未建成高标准基本农田。</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表2-2 泸县永久基本农田面积分镇统计表（单位：万亩）</w:t>
      </w:r>
    </w:p>
    <w:tbl>
      <w:tblPr>
        <w:tblStyle w:val="44"/>
        <w:tblW w:w="4980" w:type="pct"/>
        <w:tblInd w:w="0" w:type="dxa"/>
        <w:tblLayout w:type="autofit"/>
        <w:tblCellMar>
          <w:top w:w="0" w:type="dxa"/>
          <w:left w:w="108" w:type="dxa"/>
          <w:bottom w:w="0" w:type="dxa"/>
          <w:right w:w="108" w:type="dxa"/>
        </w:tblCellMar>
      </w:tblPr>
      <w:tblGrid>
        <w:gridCol w:w="1256"/>
        <w:gridCol w:w="1234"/>
        <w:gridCol w:w="2185"/>
        <w:gridCol w:w="2163"/>
        <w:gridCol w:w="2299"/>
      </w:tblGrid>
      <w:tr>
        <w:tblPrEx>
          <w:tblCellMar>
            <w:top w:w="0" w:type="dxa"/>
            <w:left w:w="108" w:type="dxa"/>
            <w:bottom w:w="0" w:type="dxa"/>
            <w:right w:w="108" w:type="dxa"/>
          </w:tblCellMar>
        </w:tblPrEx>
        <w:trPr>
          <w:trHeight w:val="376" w:hRule="atLeast"/>
          <w:tblHeader/>
        </w:trPr>
        <w:tc>
          <w:tcPr>
            <w:tcW w:w="6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行政区</w:t>
            </w:r>
          </w:p>
        </w:tc>
        <w:tc>
          <w:tcPr>
            <w:tcW w:w="6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耕地面积</w:t>
            </w:r>
          </w:p>
        </w:tc>
        <w:tc>
          <w:tcPr>
            <w:tcW w:w="11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永久基本农田面积</w:t>
            </w:r>
          </w:p>
        </w:tc>
        <w:tc>
          <w:tcPr>
            <w:tcW w:w="2440" w:type="pct"/>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永久基本农田内高标准农田建设情况</w:t>
            </w:r>
          </w:p>
        </w:tc>
      </w:tr>
      <w:tr>
        <w:tblPrEx>
          <w:tblCellMar>
            <w:top w:w="0" w:type="dxa"/>
            <w:left w:w="108" w:type="dxa"/>
            <w:bottom w:w="0" w:type="dxa"/>
            <w:right w:w="108" w:type="dxa"/>
          </w:tblCellMar>
        </w:tblPrEx>
        <w:trPr>
          <w:trHeight w:val="376" w:hRule="atLeast"/>
          <w:tblHeader/>
        </w:trPr>
        <w:tc>
          <w:tcPr>
            <w:tcW w:w="68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7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1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183"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1257"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未建高标准高农田</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3.79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2.28</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1.91</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6.43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5.92</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2.57</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3.35</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3.77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3.43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3.18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0.25</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5.00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4.70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2.41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2.30</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5.66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5.33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2.98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2.35</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5.19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4.71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3.30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3.69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3.45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2.07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1.38</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9.35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8.67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3.49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5.18</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8.54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7.02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2.95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4.07</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4.82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4.48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1.97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2.51</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4.97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4.26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2.03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2.23</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5.13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4.68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1.62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3.06</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5.48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5.13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3.13</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6.22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5.86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1.94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3.92</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8.08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7.06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3.66</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4.47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4.05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2.08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6.40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5.86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3.13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2.72</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3.12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2.94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1.40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1.54</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5.68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5.35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3.20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w:t>
            </w:r>
          </w:p>
        </w:tc>
      </w:tr>
      <w:tr>
        <w:tblPrEx>
          <w:tblCellMar>
            <w:top w:w="0" w:type="dxa"/>
            <w:left w:w="108" w:type="dxa"/>
            <w:bottom w:w="0" w:type="dxa"/>
            <w:right w:w="108" w:type="dxa"/>
          </w:tblCellMar>
        </w:tblPrEx>
        <w:trPr>
          <w:trHeight w:val="376"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3.07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2.89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1.83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w:t>
            </w:r>
          </w:p>
        </w:tc>
      </w:tr>
      <w:tr>
        <w:tblPrEx>
          <w:tblCellMar>
            <w:top w:w="0" w:type="dxa"/>
            <w:left w:w="108" w:type="dxa"/>
            <w:bottom w:w="0" w:type="dxa"/>
            <w:right w:w="108" w:type="dxa"/>
          </w:tblCellMar>
        </w:tblPrEx>
        <w:trPr>
          <w:trHeight w:val="387" w:hRule="atLeast"/>
        </w:trPr>
        <w:tc>
          <w:tcPr>
            <w:tcW w:w="68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67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108.86 </w:t>
            </w:r>
          </w:p>
        </w:tc>
        <w:tc>
          <w:tcPr>
            <w:tcW w:w="1195"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98.07 </w:t>
            </w:r>
          </w:p>
        </w:tc>
        <w:tc>
          <w:tcPr>
            <w:tcW w:w="1183"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47.91 </w:t>
            </w:r>
          </w:p>
        </w:tc>
        <w:tc>
          <w:tcPr>
            <w:tcW w:w="1257"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50.17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图</w:t>
      </w:r>
      <w:r>
        <w:rPr>
          <w:rFonts w:hint="default" w:ascii="Times New Roman" w:hAnsi="Times New Roman" w:cs="Times New Roman"/>
          <w:bCs/>
          <w:color w:val="auto"/>
          <w:sz w:val="28"/>
          <w:szCs w:val="28"/>
          <w:highlight w:val="none"/>
        </w:rPr>
        <w:drawing>
          <wp:anchor distT="0" distB="0" distL="114300" distR="114300" simplePos="0" relativeHeight="251660288" behindDoc="0" locked="0" layoutInCell="1" allowOverlap="1">
            <wp:simplePos x="0" y="0"/>
            <wp:positionH relativeFrom="column">
              <wp:posOffset>104775</wp:posOffset>
            </wp:positionH>
            <wp:positionV relativeFrom="paragraph">
              <wp:posOffset>219075</wp:posOffset>
            </wp:positionV>
            <wp:extent cx="5281295" cy="3261360"/>
            <wp:effectExtent l="0" t="0" r="0" b="0"/>
            <wp:wrapTopAndBottom/>
            <wp:docPr id="18283027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02704"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81200" cy="3261600"/>
                    </a:xfrm>
                    <a:prstGeom prst="rect">
                      <a:avLst/>
                    </a:prstGeom>
                    <a:noFill/>
                  </pic:spPr>
                </pic:pic>
              </a:graphicData>
            </a:graphic>
          </wp:anchor>
        </w:drawing>
      </w:r>
      <w:r>
        <w:rPr>
          <w:rFonts w:hint="default" w:ascii="Times New Roman" w:hAnsi="Times New Roman" w:cs="Times New Roman"/>
          <w:bCs/>
          <w:color w:val="auto"/>
          <w:sz w:val="28"/>
          <w:szCs w:val="28"/>
          <w:highlight w:val="none"/>
        </w:rPr>
        <w:t>2-5 泸县分镇永久基本农田面积</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drawing>
          <wp:anchor distT="0" distB="0" distL="114300" distR="114300" simplePos="0" relativeHeight="251661312" behindDoc="0" locked="0" layoutInCell="1" allowOverlap="1">
            <wp:simplePos x="0" y="0"/>
            <wp:positionH relativeFrom="column">
              <wp:posOffset>540385</wp:posOffset>
            </wp:positionH>
            <wp:positionV relativeFrom="paragraph">
              <wp:posOffset>180975</wp:posOffset>
            </wp:positionV>
            <wp:extent cx="4841240" cy="3427095"/>
            <wp:effectExtent l="0" t="0" r="16510" b="1905"/>
            <wp:wrapTopAndBottom/>
            <wp:docPr id="18040903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0367"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41240" cy="3427095"/>
                    </a:xfrm>
                    <a:prstGeom prst="rect">
                      <a:avLst/>
                    </a:prstGeom>
                  </pic:spPr>
                </pic:pic>
              </a:graphicData>
            </a:graphic>
          </wp:anchor>
        </w:drawing>
      </w:r>
      <w:r>
        <w:rPr>
          <w:rFonts w:hint="default" w:ascii="Times New Roman" w:hAnsi="Times New Roman" w:cs="Times New Roman"/>
          <w:bCs/>
          <w:color w:val="auto"/>
          <w:sz w:val="28"/>
          <w:szCs w:val="28"/>
          <w:highlight w:val="none"/>
        </w:rPr>
        <w:t>图2-6 泸县永久基本农田分布图</w:t>
      </w:r>
    </w:p>
    <w:p>
      <w:pPr>
        <w:pStyle w:val="4"/>
        <w:ind w:firstLine="560"/>
        <w:rPr>
          <w:rFonts w:hint="default" w:ascii="Times New Roman" w:hAnsi="Times New Roman" w:cs="Times New Roman"/>
          <w:color w:val="auto"/>
          <w:highlight w:val="none"/>
        </w:rPr>
      </w:pPr>
      <w:bookmarkStart w:id="28" w:name="_Toc98928886"/>
      <w:bookmarkStart w:id="29" w:name="_Toc150285139"/>
      <w:r>
        <w:rPr>
          <w:rFonts w:hint="default" w:ascii="Times New Roman" w:hAnsi="Times New Roman" w:cs="Times New Roman"/>
          <w:color w:val="auto"/>
          <w:highlight w:val="none"/>
        </w:rPr>
        <w:t>四、农业基础设施</w:t>
      </w:r>
      <w:bookmarkEnd w:id="28"/>
      <w:bookmarkEnd w:id="29"/>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（一）水源工程</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全县已建成各类水库135座（其中：中型水库4座，小（1）型水库23座，小（2）型水库108座，总库容1.72亿m3）、水电站19座、塘坝9149处、窖池1812口、泵站317处、水闸12座、机电井165255眼。规模以上灌区数量22处，渠道长度747.78km。</w:t>
      </w:r>
    </w:p>
    <w:p>
      <w:pPr>
        <w:ind w:firstLine="600"/>
        <w:rPr>
          <w:rFonts w:hint="default" w:ascii="Times New Roman" w:hAnsi="Times New Roman" w:cs="Times New Roman"/>
          <w:bCs/>
          <w:iCs/>
          <w:color w:val="auto"/>
          <w:highlight w:val="none"/>
        </w:rPr>
      </w:pPr>
      <w:r>
        <w:rPr>
          <w:rFonts w:hint="default" w:ascii="Times New Roman" w:hAnsi="Times New Roman" w:cs="Times New Roman"/>
          <w:bCs/>
          <w:color w:val="auto"/>
          <w:highlight w:val="none"/>
        </w:rPr>
        <w:t>根据泸县小型水利工程确权，全县现有提灌站472座，山坪塘8943口，石河堰251条，蓄水池999口，渠道245.768公里，管道（含高效节水灌溉）530.1139公里，排洪沟14.465公里。全县农村小型水利工程分镇数量具体见表2-2。</w:t>
      </w:r>
    </w:p>
    <w:p>
      <w:pPr>
        <w:pStyle w:val="2"/>
        <w:ind w:firstLine="600"/>
        <w:rPr>
          <w:rFonts w:hint="default" w:ascii="Times New Roman" w:hAnsi="Times New Roman" w:cs="Times New Roman"/>
          <w:bCs/>
          <w:color w:val="auto"/>
          <w:highlight w:val="none"/>
        </w:rPr>
        <w:sectPr>
          <w:pgSz w:w="11906" w:h="16838"/>
          <w:pgMar w:top="2154" w:right="1417" w:bottom="2041" w:left="1531" w:header="851" w:footer="992" w:gutter="0"/>
          <w:cols w:space="425" w:num="1"/>
          <w:docGrid w:type="lines" w:linePitch="312" w:charSpace="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表2-3 泸县农村小型水利工程分镇统计表</w:t>
      </w:r>
    </w:p>
    <w:tbl>
      <w:tblPr>
        <w:tblStyle w:val="44"/>
        <w:tblW w:w="504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27"/>
        <w:gridCol w:w="1288"/>
        <w:gridCol w:w="1617"/>
        <w:gridCol w:w="1528"/>
        <w:gridCol w:w="1485"/>
        <w:gridCol w:w="1420"/>
        <w:gridCol w:w="1815"/>
        <w:gridCol w:w="2404"/>
        <w:gridCol w:w="19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序号</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提灌站（座）</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山坪塘（口）</w:t>
            </w:r>
          </w:p>
        </w:tc>
        <w:tc>
          <w:tcPr>
            <w:tcW w:w="5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石河堰/引水堰（条)</w:t>
            </w:r>
          </w:p>
        </w:tc>
        <w:tc>
          <w:tcPr>
            <w:tcW w:w="49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蓄水池（口）</w:t>
            </w:r>
          </w:p>
        </w:tc>
        <w:tc>
          <w:tcPr>
            <w:tcW w:w="6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渠道（条/公里)</w:t>
            </w:r>
          </w:p>
        </w:tc>
        <w:tc>
          <w:tcPr>
            <w:tcW w:w="84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管道/高效节水灌溉工程(条/公里)</w:t>
            </w:r>
          </w:p>
        </w:tc>
        <w:tc>
          <w:tcPr>
            <w:tcW w:w="6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排洪沟(条/公里)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93</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8/15.78</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37/39.172</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玉街办</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224</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119</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9/18.05</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8/17.78</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555</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11/18.86</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121</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1/1.6</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32/59.79</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648</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1/4.5</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101</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19/66.938</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452</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58</w:t>
            </w:r>
          </w:p>
        </w:tc>
        <w:tc>
          <w:tcPr>
            <w:tcW w:w="634"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38/39.189</w:t>
            </w:r>
          </w:p>
        </w:tc>
        <w:tc>
          <w:tcPr>
            <w:tcW w:w="672"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558</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55</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7/5.8</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40/9.8351</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3/2.125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1243</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5/18</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16/25</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186</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2/2.5</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15/50.1298</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307</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1/0.4</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18/50.078</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368</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6/21</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17/125</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726</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1/19.19</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489</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13/9.5</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21/31.7</w:t>
            </w:r>
          </w:p>
        </w:tc>
        <w:tc>
          <w:tcPr>
            <w:tcW w:w="672"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262</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656</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7/11.67</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26/32.74</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620</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1/2.93</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72"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520</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7/28.9</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3/4.35</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28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45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324</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23/36</w:t>
            </w:r>
          </w:p>
        </w:tc>
        <w:tc>
          <w:tcPr>
            <w:tcW w:w="8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w:t>
            </w:r>
          </w:p>
        </w:tc>
        <w:tc>
          <w:tcPr>
            <w:tcW w:w="672"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trPr>
        <w:tc>
          <w:tcPr>
            <w:tcW w:w="739" w:type="pct"/>
            <w:gridSpan w:val="2"/>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56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8943</w:t>
            </w:r>
          </w:p>
        </w:tc>
        <w:tc>
          <w:tcPr>
            <w:tcW w:w="5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251</w:t>
            </w:r>
          </w:p>
        </w:tc>
        <w:tc>
          <w:tcPr>
            <w:tcW w:w="49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999</w:t>
            </w:r>
          </w:p>
        </w:tc>
        <w:tc>
          <w:tcPr>
            <w:tcW w:w="6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110/245.768</w:t>
            </w:r>
          </w:p>
        </w:tc>
        <w:tc>
          <w:tcPr>
            <w:tcW w:w="840"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291/530.1139</w:t>
            </w:r>
          </w:p>
        </w:tc>
        <w:tc>
          <w:tcPr>
            <w:tcW w:w="6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19/14.465</w:t>
            </w:r>
          </w:p>
        </w:tc>
      </w:tr>
    </w:tbl>
    <w:p>
      <w:pPr>
        <w:pStyle w:val="2"/>
        <w:ind w:firstLine="600"/>
        <w:rPr>
          <w:rFonts w:hint="default" w:ascii="Times New Roman" w:hAnsi="Times New Roman" w:cs="Times New Roman"/>
          <w:bCs/>
          <w:color w:val="auto"/>
          <w:highlight w:val="none"/>
        </w:rPr>
        <w:sectPr>
          <w:pgSz w:w="16838" w:h="11906" w:orient="landscape"/>
          <w:pgMar w:top="1797" w:right="1440" w:bottom="1797" w:left="1440" w:header="851" w:footer="992" w:gutter="0"/>
          <w:cols w:space="425" w:num="1"/>
          <w:docGrid w:type="linesAndChars" w:linePitch="312" w:charSpace="0"/>
        </w:sectPr>
      </w:pP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（二）交通与电力</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全县已经实现了县、镇、村道基本联网，项目区外部交通状况较好，项目区各村均有公路到达，主干道多为混凝土路面。项目区内配套的农电网改造基本完成，改造后村村通380伏电源、户户通220伏电源，农户用电普及率100%。电力线路（包含高压、低压）和电网较完善，农田灌溉及项目区实施的用电问题完全可以得到保证。</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（三）田间工程现状</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1．田间水利工程</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项目区内现有农毛渠设计标准低，渠系建筑物不配套，大部分渠道存在漏水、淤积、堵塞等情况。项目区内渠道工程完好率不到50%，灌溉保证率不足60%。</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2．农田及农业设施</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区田埂多为自然形成，弯弯曲曲，田面极不规则，不方正，相临田块多数高差在40cm以内，且单块田面积多在1—1.5亩左右，不利于中小型机械综合耕、种、收，加之机耕道路通达率低，造成农作物综合机械化水平低。总体上耕地质量较低，须通过“土壤改良”建设，提高耕地质量，才能为项目区农业产业化发展夯实基础。</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3．田间道路工程</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干道：项目区田间干道骨干网状系统已经初步形成，通村主要道路均实现水泥路面硬化，交通通畅。受资金和历史条件制约，通社道路部分地段路况较差，部分社道路面坑洼不平、杂草丛生，质量状况较差，路基片石填埋不到位，雨天路面泥泞不堪，需要通过整治，解决老百姓生产生活物资运输和出行难问题。</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田间支路：项目区田间便民支路主要沿田间干道的走向和居民点的位置分布，项目区硬化的田间耕作便道（田间支路）较少，项目区群众进入田间耕作基本依靠田间土埂，机械耕作十分不便。</w:t>
      </w:r>
    </w:p>
    <w:bookmarkEnd w:id="23"/>
    <w:p>
      <w:pPr>
        <w:pStyle w:val="2"/>
        <w:spacing w:after="0" w:line="560" w:lineRule="exact"/>
        <w:ind w:firstLine="600"/>
        <w:rPr>
          <w:rFonts w:hint="default" w:ascii="Times New Roman" w:hAnsi="Times New Roman" w:cs="Times New Roman"/>
          <w:bCs/>
          <w:color w:val="auto"/>
          <w:highlight w:val="none"/>
        </w:rPr>
      </w:pPr>
    </w:p>
    <w:p>
      <w:pPr>
        <w:pStyle w:val="2"/>
        <w:ind w:firstLine="198" w:firstLineChars="66"/>
        <w:rPr>
          <w:rFonts w:hint="default" w:ascii="Times New Roman" w:hAnsi="Times New Roman" w:cs="Times New Roman"/>
          <w:bCs/>
          <w:color w:val="auto"/>
          <w:highlight w:val="none"/>
        </w:rPr>
        <w:sectPr>
          <w:pgSz w:w="11906" w:h="16838"/>
          <w:pgMar w:top="1440" w:right="1800" w:bottom="1440" w:left="1800" w:header="851" w:footer="992" w:gutter="0"/>
          <w:cols w:space="425" w:num="1"/>
          <w:docGrid w:type="lines" w:linePitch="312" w:charSpace="0"/>
        </w:sectPr>
      </w:pPr>
    </w:p>
    <w:p>
      <w:pPr>
        <w:pStyle w:val="3"/>
        <w:rPr>
          <w:rFonts w:hint="default" w:ascii="Times New Roman" w:hAnsi="Times New Roman" w:cs="Times New Roman"/>
          <w:bCs/>
          <w:color w:val="auto"/>
          <w:highlight w:val="none"/>
        </w:rPr>
      </w:pPr>
      <w:bookmarkStart w:id="30" w:name="_Toc23275"/>
      <w:bookmarkStart w:id="31" w:name="_Toc150285140"/>
      <w:bookmarkStart w:id="32" w:name="_Toc352189965"/>
      <w:bookmarkStart w:id="33" w:name="_Toc319395689"/>
      <w:r>
        <w:rPr>
          <w:rFonts w:hint="default" w:ascii="Times New Roman" w:hAnsi="Times New Roman" w:cs="Times New Roman"/>
          <w:bCs/>
          <w:color w:val="auto"/>
          <w:highlight w:val="none"/>
        </w:rPr>
        <w:t>第三章  总体要求</w:t>
      </w:r>
      <w:bookmarkEnd w:id="30"/>
      <w:bookmarkEnd w:id="31"/>
    </w:p>
    <w:bookmarkEnd w:id="32"/>
    <w:bookmarkEnd w:id="33"/>
    <w:p>
      <w:pPr>
        <w:pStyle w:val="4"/>
        <w:ind w:firstLine="564"/>
        <w:rPr>
          <w:rFonts w:hint="default" w:ascii="Times New Roman" w:hAnsi="Times New Roman" w:cs="Times New Roman"/>
          <w:color w:val="auto"/>
          <w:highlight w:val="none"/>
        </w:rPr>
      </w:pPr>
      <w:bookmarkStart w:id="34" w:name="_Toc150285141"/>
      <w:bookmarkStart w:id="35" w:name="_Toc13717"/>
      <w:r>
        <w:rPr>
          <w:rFonts w:hint="default" w:ascii="Times New Roman" w:hAnsi="Times New Roman" w:cs="Times New Roman"/>
          <w:color w:val="auto"/>
          <w:highlight w:val="none"/>
        </w:rPr>
        <w:t>一、指导思想</w:t>
      </w:r>
      <w:bookmarkEnd w:id="34"/>
      <w:bookmarkEnd w:id="35"/>
    </w:p>
    <w:p>
      <w:pPr>
        <w:ind w:firstLine="604"/>
        <w:rPr>
          <w:rFonts w:hint="default" w:ascii="Times New Roman" w:hAnsi="Times New Roman" w:cs="Times New Roman"/>
          <w:bCs/>
          <w:color w:val="auto"/>
          <w:highlight w:val="none"/>
        </w:rPr>
      </w:pPr>
      <w:bookmarkStart w:id="36" w:name="_Toc98928889"/>
      <w:r>
        <w:rPr>
          <w:rFonts w:hint="default" w:ascii="Times New Roman" w:hAnsi="Times New Roman" w:cs="Times New Roman"/>
          <w:bCs/>
          <w:color w:val="auto"/>
          <w:highlight w:val="none"/>
        </w:rPr>
        <w:t>坚持以习近平新时代中国特色社会主义思想为指导，深入贯彻习近平总书记关于“三农”工作系列重要论述和来川视察重要指示精神，全面落实保障粮食安全、不发生规模性返贫、加强耕地保护“三件大事”以及在新时代打造更高水平“天府粮仓”的重要指示和明确要求。认真贯彻落实党中央、国务院和省委、省政府决策部署，在县委、县政府坚强领导下围绕乡村振兴、农业农村现代化战略目标，聚焦永久基本农田，坚持新增建设和改造提升并重、建设数量和建设质量并重、工程建设和建后管护并重、产能提升和绿色发展协调、统一组织实施与分区分类施策相结合，实行田、土、水、路、林、电、技、管、制综合配套，统筹规划、集中打造一批“集中连片、能排能灌、旱涝保收、宜机作业、节水高效、稳产高产、生态友好”的高标准农田，逐步把全县符合立项条件的永久基本农田全部建成高标准农田，为保障粮食安全和建设农业强县奠定坚实基础。</w:t>
      </w:r>
    </w:p>
    <w:p>
      <w:pPr>
        <w:pStyle w:val="4"/>
        <w:ind w:firstLine="564"/>
        <w:rPr>
          <w:rFonts w:hint="default" w:ascii="Times New Roman" w:hAnsi="Times New Roman" w:cs="Times New Roman"/>
          <w:color w:val="auto"/>
          <w:highlight w:val="none"/>
        </w:rPr>
      </w:pPr>
      <w:bookmarkStart w:id="37" w:name="_Toc150285142"/>
      <w:r>
        <w:rPr>
          <w:rFonts w:hint="default" w:ascii="Times New Roman" w:hAnsi="Times New Roman" w:cs="Times New Roman"/>
          <w:color w:val="auto"/>
          <w:highlight w:val="none"/>
        </w:rPr>
        <w:t>二、基本原则</w:t>
      </w:r>
      <w:bookmarkEnd w:id="36"/>
      <w:bookmarkEnd w:id="37"/>
    </w:p>
    <w:p>
      <w:pPr>
        <w:ind w:firstLine="604"/>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（一）政府主导，多元参与。</w:t>
      </w:r>
      <w:r>
        <w:rPr>
          <w:rFonts w:hint="default" w:ascii="Times New Roman" w:hAnsi="Times New Roman" w:cs="Times New Roman"/>
          <w:bCs/>
          <w:color w:val="auto"/>
          <w:highlight w:val="none"/>
        </w:rPr>
        <w:t>完善和优化财政投入保障机制，积极争取中央、省级财政支持力度，切实落实县级财政支出责任，提高资金配置效率和使用效益。尊重农民意愿，维护农民权益，积极引导农民、新型农业经营主体、农村集体经济组织和涉农企业等各类社会资本积极投入高标准农田建设和管护，形成“共建一块田、共保一碗粮”的工作合力。</w:t>
      </w:r>
    </w:p>
    <w:p>
      <w:pPr>
        <w:ind w:firstLine="604"/>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（二）统筹规划，突出重点。</w:t>
      </w:r>
      <w:r>
        <w:rPr>
          <w:rFonts w:hint="default" w:ascii="Times New Roman" w:hAnsi="Times New Roman" w:cs="Times New Roman"/>
          <w:bCs/>
          <w:color w:val="auto"/>
          <w:highlight w:val="none"/>
        </w:rPr>
        <w:t>用好高标准农田建设评估成果和国土“三调”成果，做好与全县国土空间、农业农村现代化、水利、交通等规划的衔接，明确目标任务，优化建设布局，重点围绕永久基本农田建设高标准农田，分年分批实施，保障全县重要农产品特别是粮食的有效供给。</w:t>
      </w:r>
    </w:p>
    <w:p>
      <w:pPr>
        <w:ind w:firstLine="604"/>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（三）因地制宜，分类施策。</w:t>
      </w:r>
      <w:r>
        <w:rPr>
          <w:rFonts w:hint="default" w:ascii="Times New Roman" w:hAnsi="Times New Roman" w:cs="Times New Roman"/>
          <w:bCs/>
          <w:color w:val="auto"/>
          <w:highlight w:val="none"/>
        </w:rPr>
        <w:t>实事求是根据田块分散、季节性干旱、水土流失等粮食生产主要制约因素，按照农业发展布局、主体功能区划和粮食生产要求合理确定建设发展模式，分类施策，统筹推进田、土、水、路、林、电、技、管、制综合配套，助推泸县现代农业发展进程。</w:t>
      </w:r>
    </w:p>
    <w:p>
      <w:pPr>
        <w:ind w:firstLine="604"/>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（四）建改并举，绿色生态。</w:t>
      </w:r>
      <w:r>
        <w:rPr>
          <w:rFonts w:hint="default" w:ascii="Times New Roman" w:hAnsi="Times New Roman" w:cs="Times New Roman"/>
          <w:bCs/>
          <w:color w:val="auto"/>
          <w:highlight w:val="none"/>
        </w:rPr>
        <w:t>落实高质量发展要求，保质保量完成新增高标准农田任务，合理安排已建项目区的改造提升，有效提升农田建设质量和效益。践行绿色发展理念，加强生态环境保护，推动耕地质量保护与提升，实现农业生产与生态保护相协调，促进农业可持续发展。</w:t>
      </w:r>
    </w:p>
    <w:p>
      <w:pPr>
        <w:ind w:firstLine="604"/>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（五）建管并重，良性运行。</w:t>
      </w:r>
      <w:r>
        <w:rPr>
          <w:rFonts w:hint="default" w:ascii="Times New Roman" w:hAnsi="Times New Roman" w:cs="Times New Roman"/>
          <w:bCs/>
          <w:color w:val="auto"/>
          <w:highlight w:val="none"/>
        </w:rPr>
        <w:t>建立健全高标准农田建设管护机制，落实管护主体和责任，建立多元化管护经费保障机制，实现项目建设、管理一体化推进。按照“谁使用、谁受益、谁管护”的原则，探索社会化和专业化相结合的管护模式，确保工程长效运行。完善耕地质量监测网络，强化长期跟踪监测。</w:t>
      </w:r>
    </w:p>
    <w:p>
      <w:pPr>
        <w:ind w:firstLine="604"/>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（六）依法严管，良田粮用。</w:t>
      </w:r>
      <w:r>
        <w:rPr>
          <w:rFonts w:hint="default" w:ascii="Times New Roman" w:hAnsi="Times New Roman" w:cs="Times New Roman"/>
          <w:bCs/>
          <w:color w:val="auto"/>
          <w:highlight w:val="none"/>
        </w:rPr>
        <w:t>建成的高标准农田，依法纳入永久基本农田实行特殊保护，坚决遏制耕地“非农化”、防止“非粮化”。落实耕地保护责任，强化用途管制，严格控制耕地转为非耕地，确保良田粮用。强化高标准农田上图入库，实现有据可查、全程监控、精准管理、资源共享。</w:t>
      </w:r>
    </w:p>
    <w:p>
      <w:pPr>
        <w:pStyle w:val="4"/>
        <w:ind w:firstLine="564"/>
        <w:rPr>
          <w:rFonts w:hint="default" w:ascii="Times New Roman" w:hAnsi="Times New Roman" w:cs="Times New Roman"/>
          <w:color w:val="auto"/>
          <w:highlight w:val="none"/>
        </w:rPr>
      </w:pPr>
      <w:bookmarkStart w:id="38" w:name="_Toc98928890"/>
      <w:bookmarkStart w:id="39" w:name="_Toc150285143"/>
      <w:bookmarkStart w:id="40" w:name="_Toc13671"/>
      <w:r>
        <w:rPr>
          <w:rFonts w:hint="default" w:ascii="Times New Roman" w:hAnsi="Times New Roman" w:cs="Times New Roman"/>
          <w:color w:val="auto"/>
          <w:highlight w:val="none"/>
        </w:rPr>
        <w:t>三、建设目标</w:t>
      </w:r>
      <w:bookmarkEnd w:id="38"/>
      <w:bookmarkEnd w:id="39"/>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围绕“田、土、水、路、林、电、技、管、制”九个方面，完善农田基础设施，以“能排能灌、旱涝保收、宜机作业、高产稳产、生态友好”为目标，逐步把全县符合立项条件的永久基本农田全部建成高标准农田，为打造更高水平的“天府粮仓”贡献泸县力量。</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到2025年，全县规划新建高标准农田15.56万亩，永久基本农田内高标准农田保有量达到63.46万亩；规划改造提升高标准农田12.89万亩；新增高效节水灌溉面积1.96万亩。</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到2030年，全县累计规划新建高标准农田38.67万亩，永久基本农田内高标准农田保有量达到86.58万亩，累计规划改造提升高标准农田30.77万亩；累计新增高效节水灌溉面积4.53万亩。</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到2032年，全县累计规划新建高标准农田43.95万亩，永久基本农田内高标准农田保有量达到91.86万亩，累计规划改造提升高标准农田36.10万亩；累计新增高效节水灌溉面积5.66万亩。</w:t>
      </w:r>
    </w:p>
    <w:p>
      <w:pPr>
        <w:widowControl/>
        <w:adjustRightInd/>
        <w:spacing w:line="240" w:lineRule="auto"/>
        <w:ind w:firstLine="0" w:firstLineChars="0"/>
        <w:jc w:val="left"/>
        <w:textAlignment w:val="auto"/>
        <w:rPr>
          <w:rFonts w:hint="default" w:ascii="Times New Roman" w:hAnsi="Times New Roman" w:cs="Times New Roman"/>
          <w:bCs/>
          <w:color w:val="auto"/>
          <w:kern w:val="2"/>
          <w:sz w:val="28"/>
          <w:szCs w:val="28"/>
          <w:highlight w:val="none"/>
        </w:rPr>
      </w:pPr>
      <w:r>
        <w:rPr>
          <w:rFonts w:hint="default" w:ascii="Times New Roman" w:hAnsi="Times New Roman" w:cs="Times New Roman"/>
          <w:bCs/>
          <w:color w:val="auto"/>
          <w:sz w:val="28"/>
          <w:szCs w:val="28"/>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表3.1  泸县高标准农田建设主要目标指标（2023—2032年）</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212"/>
        <w:gridCol w:w="1409"/>
        <w:gridCol w:w="1310"/>
        <w:gridCol w:w="1310"/>
        <w:gridCol w:w="1312"/>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14"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序号</w:t>
            </w:r>
          </w:p>
        </w:tc>
        <w:tc>
          <w:tcPr>
            <w:tcW w:w="1429" w:type="pct"/>
            <w:gridSpan w:val="2"/>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指标</w:t>
            </w:r>
          </w:p>
        </w:tc>
        <w:tc>
          <w:tcPr>
            <w:tcW w:w="2143" w:type="pct"/>
            <w:gridSpan w:val="3"/>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目标值</w:t>
            </w:r>
          </w:p>
        </w:tc>
        <w:tc>
          <w:tcPr>
            <w:tcW w:w="714"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指标属性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429" w:type="pct"/>
            <w:gridSpan w:val="2"/>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到2025年</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到2030年</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到2032年</w:t>
            </w:r>
          </w:p>
        </w:tc>
        <w:tc>
          <w:tcPr>
            <w:tcW w:w="7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714"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429"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永久基本农田内高标准农田保有量（万亩）</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63.46</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86.61</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91.86</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5" w:hRule="atLeast"/>
        </w:trPr>
        <w:tc>
          <w:tcPr>
            <w:tcW w:w="7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61"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其中：</w:t>
            </w:r>
          </w:p>
        </w:tc>
        <w:tc>
          <w:tcPr>
            <w:tcW w:w="76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累计新建高标准农田面积（万亩）</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15.56</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38.67</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43.95</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0" w:hRule="atLeast"/>
        </w:trPr>
        <w:tc>
          <w:tcPr>
            <w:tcW w:w="7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6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6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累计改造提升高标准农田面积（万亩）</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12.89</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30.77</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36.10</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5" w:hRule="atLeast"/>
        </w:trPr>
        <w:tc>
          <w:tcPr>
            <w:tcW w:w="7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6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6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累计新增高效节水灌溉面积（万亩）</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1.96</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4.53</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5.66</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约束性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714"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429" w:type="pct"/>
            <w:gridSpan w:val="2"/>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新增粮食综合生产能力</w:t>
            </w:r>
          </w:p>
        </w:tc>
        <w:tc>
          <w:tcPr>
            <w:tcW w:w="2143"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新增高标准农田亩均产能提高100公斤左右</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trPr>
        <w:tc>
          <w:tcPr>
            <w:tcW w:w="7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429" w:type="pct"/>
            <w:gridSpan w:val="2"/>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143"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改造提升高标准农田产能不低于当地高标准农田产能的平均水平</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429"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耕地地力提升</w:t>
            </w:r>
          </w:p>
        </w:tc>
        <w:tc>
          <w:tcPr>
            <w:tcW w:w="2143"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平均提高0.2个等级以上</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429" w:type="pct"/>
            <w:gridSpan w:val="2"/>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新增建设高标准农田亩均节水率</w:t>
            </w:r>
          </w:p>
        </w:tc>
        <w:tc>
          <w:tcPr>
            <w:tcW w:w="2143" w:type="pct"/>
            <w:gridSpan w:val="3"/>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10%以上</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1429" w:type="pct"/>
            <w:gridSpan w:val="2"/>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建成高标准农田上图入库覆盖率</w:t>
            </w:r>
          </w:p>
        </w:tc>
        <w:tc>
          <w:tcPr>
            <w:tcW w:w="2143" w:type="pct"/>
            <w:gridSpan w:val="3"/>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w:t>
            </w:r>
          </w:p>
        </w:tc>
        <w:tc>
          <w:tcPr>
            <w:tcW w:w="7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预期性</w:t>
            </w:r>
          </w:p>
        </w:tc>
      </w:tr>
    </w:tbl>
    <w:p>
      <w:pPr>
        <w:pStyle w:val="2"/>
        <w:ind w:firstLine="604"/>
        <w:rPr>
          <w:rFonts w:hint="default" w:ascii="Times New Roman" w:hAnsi="Times New Roman" w:cs="Times New Roman"/>
          <w:bCs/>
          <w:color w:val="auto"/>
          <w:highlight w:val="none"/>
        </w:rPr>
      </w:pPr>
      <w:bookmarkStart w:id="41" w:name="_Toc163363537"/>
    </w:p>
    <w:p>
      <w:pPr>
        <w:pStyle w:val="2"/>
        <w:ind w:firstLine="604"/>
        <w:rPr>
          <w:rFonts w:hint="default" w:ascii="Times New Roman" w:hAnsi="Times New Roman" w:cs="Times New Roman"/>
          <w:bCs/>
          <w:color w:val="auto"/>
          <w:highlight w:val="none"/>
        </w:rPr>
        <w:sectPr>
          <w:footerReference r:id="rId19" w:type="default"/>
          <w:pgSz w:w="11905" w:h="16838"/>
          <w:pgMar w:top="2154" w:right="1418" w:bottom="2041" w:left="1531" w:header="851" w:footer="1247" w:gutter="0"/>
          <w:cols w:space="0" w:num="1"/>
          <w:docGrid w:type="linesAndChars" w:linePitch="319" w:charSpace="390"/>
        </w:sectPr>
      </w:pPr>
    </w:p>
    <w:bookmarkEnd w:id="40"/>
    <w:bookmarkEnd w:id="41"/>
    <w:p>
      <w:pPr>
        <w:pStyle w:val="3"/>
        <w:rPr>
          <w:rFonts w:hint="default" w:ascii="Times New Roman" w:hAnsi="Times New Roman" w:cs="Times New Roman"/>
          <w:bCs/>
          <w:color w:val="auto"/>
          <w:highlight w:val="none"/>
        </w:rPr>
      </w:pPr>
      <w:bookmarkStart w:id="42" w:name="_Toc10869"/>
      <w:bookmarkStart w:id="43" w:name="_Toc150285144"/>
      <w:r>
        <w:rPr>
          <w:rFonts w:hint="default" w:ascii="Times New Roman" w:hAnsi="Times New Roman" w:cs="Times New Roman"/>
          <w:bCs/>
          <w:color w:val="auto"/>
          <w:highlight w:val="none"/>
        </w:rPr>
        <w:t>第四章  建设标准</w:t>
      </w:r>
      <w:bookmarkEnd w:id="42"/>
      <w:r>
        <w:rPr>
          <w:rFonts w:hint="default" w:ascii="Times New Roman" w:hAnsi="Times New Roman" w:cs="Times New Roman"/>
          <w:bCs/>
          <w:color w:val="auto"/>
          <w:highlight w:val="none"/>
        </w:rPr>
        <w:t>与内容</w:t>
      </w:r>
      <w:bookmarkEnd w:id="43"/>
    </w:p>
    <w:p>
      <w:pPr>
        <w:ind w:firstLine="600"/>
        <w:rPr>
          <w:rFonts w:hint="default" w:ascii="Times New Roman" w:hAnsi="Times New Roman" w:cs="Times New Roman"/>
          <w:bCs/>
          <w:color w:val="auto"/>
          <w:highlight w:val="none"/>
        </w:rPr>
      </w:pPr>
      <w:bookmarkStart w:id="44" w:name="_Toc25189"/>
      <w:r>
        <w:rPr>
          <w:rFonts w:hint="default" w:ascii="Times New Roman" w:hAnsi="Times New Roman" w:cs="Times New Roman"/>
          <w:bCs/>
          <w:color w:val="auto"/>
          <w:highlight w:val="none"/>
        </w:rPr>
        <w:t>严格执行《高标准农田建设通则》（GB/T 30600—2022）、《全国高标准农田建设规划（2021—2030年）》、《四川省高标准农田建设规划（2021—2030年）》等国家、省相关技术规范和标准。新建和改造提升高标准农田以提升粮食产能为目标，坚持数量、质量、生态相统一。结合地方实际，重点在田块整治、土壤改良、灌溉排水、田间道路、农田防护与生态环境保持、农田输配电、耕地质量监测等方面加大建设力度，确保项目建设数量和质量。</w:t>
      </w:r>
    </w:p>
    <w:p>
      <w:pPr>
        <w:pStyle w:val="4"/>
        <w:ind w:firstLine="560"/>
        <w:rPr>
          <w:rFonts w:hint="default" w:ascii="Times New Roman" w:hAnsi="Times New Roman" w:cs="Times New Roman"/>
          <w:color w:val="auto"/>
          <w:highlight w:val="none"/>
        </w:rPr>
      </w:pPr>
      <w:bookmarkStart w:id="45" w:name="_Toc150285145"/>
      <w:r>
        <w:rPr>
          <w:rFonts w:hint="default" w:ascii="Times New Roman" w:hAnsi="Times New Roman" w:cs="Times New Roman"/>
          <w:color w:val="auto"/>
          <w:highlight w:val="none"/>
        </w:rPr>
        <w:t>一、田块整治工程</w:t>
      </w:r>
      <w:bookmarkEnd w:id="45"/>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按照“小并大、陡变缓、弯改直、薄增厚”的原则，依据地形地貌、作物种类、机械作业方式和灌溉排水效率等因素，合理确定田块的适宜耕作长度、宽度与坡度，通过田型调整、田埂修筑、平整土地等措施，实现田块规模适度、田面平整、田型规范，不断改善农业耕作条件。</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科学开展耕作层剥离回填利用工作，提高土壤资源利用率，改善农田耕作层，提高灌溉排水适宜性。项目区应以修筑水平梯田和改造缓坡耕地为建设重点。建成后水田平整度控制在3cm内，旱地纵向坡度≤10%，有效土层厚度不低于50cm以上，耕层厚度不低于20cm。</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田块整治时应避免打乱表土层和心土层，确需打乱应先将肥沃的表土层进行剥离，单独堆放，待田块整治完成后，再将表土均匀摊铺到田面上。</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地面坡度为5°~25°的坡耕地，应改造成水平梯田；土层较薄时，宜先修筑成坡式梯田，再经逐年向下方翻土耕作，减缓田面坡度，逐步建成水平梯田。建成后，梯田（地）化率不低于90%。</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梯田修筑应与沟道治理、坡面防护等工程相结合，提高防御暴雨冲刷能力。梯田田坎宜采用土坎、石坎、土石坎或植物坎等。</w:t>
      </w:r>
    </w:p>
    <w:p>
      <w:pPr>
        <w:pStyle w:val="4"/>
        <w:ind w:firstLine="560"/>
        <w:rPr>
          <w:rFonts w:hint="default" w:ascii="Times New Roman" w:hAnsi="Times New Roman" w:cs="Times New Roman"/>
          <w:color w:val="auto"/>
          <w:highlight w:val="none"/>
        </w:rPr>
      </w:pPr>
      <w:bookmarkStart w:id="46" w:name="_Toc150285146"/>
      <w:r>
        <w:rPr>
          <w:rFonts w:hint="default" w:ascii="Times New Roman" w:hAnsi="Times New Roman" w:cs="Times New Roman"/>
          <w:color w:val="auto"/>
          <w:highlight w:val="none"/>
        </w:rPr>
        <w:t>二、土壤改良与培肥工程</w:t>
      </w:r>
      <w:bookmarkEnd w:id="46"/>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通过工程、物理、化学和生物等综合措施，推进地力培肥，切实提高耕地质量水平。针对土壤存在瘠薄、砾石含量高、障碍层次、质地偏黏或偏砂等问题，结合工程、农艺、生物等措施，消除土壤障碍因素，治理退化耕地。</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实施以秸秆作为原料的堆腐还田、种植绿肥、增施有机肥、适度深耕等地力培肥措施，增加土壤有机质，改良土壤结构，提升土壤肥力。推广测土配方施肥，促进土壤养分平衡。</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因地制宜推广轮作模式，减轻连作障碍，改善土壤生态环境。建成后土壤pH值宜为5.5~7.5，土壤有机质含量、容重、阳离子交换量、有效磷、速效钾、微生物碳量等主要物理、化学、生物指标达到当地自然条件和种植水平下的中上等水平。</w:t>
      </w:r>
    </w:p>
    <w:p>
      <w:pPr>
        <w:pStyle w:val="4"/>
        <w:ind w:firstLine="560"/>
        <w:rPr>
          <w:rFonts w:hint="default" w:ascii="Times New Roman" w:hAnsi="Times New Roman" w:cs="Times New Roman"/>
          <w:color w:val="auto"/>
          <w:highlight w:val="none"/>
        </w:rPr>
      </w:pPr>
      <w:bookmarkStart w:id="47" w:name="_Toc150285147"/>
      <w:r>
        <w:rPr>
          <w:rFonts w:hint="default" w:ascii="Times New Roman" w:hAnsi="Times New Roman" w:cs="Times New Roman"/>
          <w:color w:val="auto"/>
          <w:highlight w:val="none"/>
        </w:rPr>
        <w:t>三、灌溉与排水工程</w:t>
      </w:r>
      <w:bookmarkEnd w:id="47"/>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按照“大中小微并举，蓄引提灌排结合”的要求，加强与全县中型灌区骨干灌排工程的衔接配套，提高输配水效率，解决农田灌溉“最后一公里”，达到旱能灌、涝能排，彻底解决靠天吃饭问题。</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因地制宜建设小型水源工程，按不同作物及灌溉需求实现相应的水源保障，宜采用蓄、引、提相结合的方式，水源工程质量保证年限不少于20年。农田灌溉设计保证率不低于80%。应因地制宜采取渠道防渗、管道输水、喷微灌等节水灌溉措施。渠道防渗输水灌溉工程灌溉水利用系数中型灌区不应低于0.60，小型灌区不应低于0.70；管道输水灌溉工程不应低于0.80。排水标准应满足农田积水不超过作物最大耐淹水深和耐淹时间。旱作区农田排水设计暴雨重现期采用5~10年一遇，1d~3d暴雨从作物受淹起1~3d排至田面无积水；水稻区农田排水设计暴雨重现期采用到10年一遇，1~3d暴雨3~5d排至作物耐淹水深。排水沟布置应与田间渠、路、林相协调，根据实际情况选用灌排兼用或灌排分离的形式。渠系建筑物应配套完整，满足灌溉与排水系统水位、流量、泥沙处理、施工、运行、管理的要求，满足生产生活的需要，其使用年限应与灌溉和排水系统主体工程相一致。</w:t>
      </w:r>
    </w:p>
    <w:p>
      <w:pPr>
        <w:pStyle w:val="4"/>
        <w:ind w:firstLine="560"/>
        <w:rPr>
          <w:rFonts w:hint="default" w:ascii="Times New Roman" w:hAnsi="Times New Roman" w:cs="Times New Roman"/>
          <w:color w:val="auto"/>
          <w:highlight w:val="none"/>
        </w:rPr>
      </w:pPr>
      <w:bookmarkStart w:id="48" w:name="_Toc150285148"/>
      <w:r>
        <w:rPr>
          <w:rFonts w:hint="default" w:ascii="Times New Roman" w:hAnsi="Times New Roman" w:cs="Times New Roman"/>
          <w:color w:val="auto"/>
          <w:highlight w:val="none"/>
        </w:rPr>
        <w:t>四、田间道路工程</w:t>
      </w:r>
      <w:bookmarkEnd w:id="48"/>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进一步优化田间道路布局，加强以整治机耕路、完善生产路、设置农机下田通道建设，提高田间道路通达率，形成“宜机化”田间路网。田间道路建设要与现有农村道路衔接，因地制宜确定道路密度和宽度，形成道路网络体系，提高田间道路通达率。机耕路宽度宜为3.5~4.5米，生产路宽度一般不超过3米，在大型机械化作业区，路面可适当放宽。机耕道应配套农机下田回车道，农机下田通道的坡度应低于30°。建成后在集中连片的耕作田块中，田间道路通达率达到90%以上，满足机械化作业、农资运输和其他农业生产活动的需要。</w:t>
      </w:r>
    </w:p>
    <w:p>
      <w:pPr>
        <w:pStyle w:val="4"/>
        <w:ind w:firstLine="560"/>
        <w:rPr>
          <w:rFonts w:hint="default" w:ascii="Times New Roman" w:hAnsi="Times New Roman" w:cs="Times New Roman"/>
          <w:color w:val="auto"/>
          <w:highlight w:val="none"/>
        </w:rPr>
      </w:pPr>
      <w:bookmarkStart w:id="49" w:name="_Toc150285149"/>
      <w:r>
        <w:rPr>
          <w:rFonts w:hint="default" w:ascii="Times New Roman" w:hAnsi="Times New Roman" w:cs="Times New Roman"/>
          <w:color w:val="auto"/>
          <w:highlight w:val="none"/>
        </w:rPr>
        <w:t>五、农田防护和生态环境保护工程</w:t>
      </w:r>
      <w:bookmarkEnd w:id="49"/>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因害设防、因地制宜的原则，对农田防护与生态环境保护工程进行合理布局，与田块、沟渠、道路等工程相结合，与村庄环境相协调，完善农田防护与生态环境保护体系。以水土流失易发区为重点，加强农田防护与生态环境保护工程建设，完善农田防护林体系。在水土流失易发区，合理修筑沟道治理、坡面防护等设施，提高水土保持和防洪能力。建成后，区域内受防护农田面积比例一般不低于90%，防洪标准达到10~20年一遇。</w:t>
      </w:r>
    </w:p>
    <w:p>
      <w:pPr>
        <w:pStyle w:val="4"/>
        <w:ind w:firstLine="560"/>
        <w:rPr>
          <w:rFonts w:hint="default" w:ascii="Times New Roman" w:hAnsi="Times New Roman" w:cs="Times New Roman"/>
          <w:color w:val="auto"/>
          <w:highlight w:val="none"/>
        </w:rPr>
      </w:pPr>
      <w:bookmarkStart w:id="50" w:name="_Toc150285150"/>
      <w:r>
        <w:rPr>
          <w:rFonts w:hint="default" w:ascii="Times New Roman" w:hAnsi="Times New Roman" w:cs="Times New Roman"/>
          <w:color w:val="auto"/>
          <w:highlight w:val="none"/>
        </w:rPr>
        <w:t>六、农田输配电工程</w:t>
      </w:r>
      <w:bookmarkEnd w:id="50"/>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对适宜电力灌排和信息化的农田，铺设高压和低压输电线路，配套建设变配电设施，为泵站以及信息化工程等提供电力保障。根据农田现代化建设和管理要求，合理布设弱电设施。输配电设施布设应与田间道路、灌溉与排水等工程相结合。建成后，实现泵站等供电设施完善，电力系统安装与运行符合相关标准，用电质量和安全水平得到提高。</w:t>
      </w:r>
    </w:p>
    <w:p>
      <w:pPr>
        <w:pStyle w:val="4"/>
        <w:ind w:firstLine="560"/>
        <w:rPr>
          <w:rFonts w:hint="default" w:ascii="Times New Roman" w:hAnsi="Times New Roman" w:cs="Times New Roman"/>
          <w:color w:val="auto"/>
          <w:highlight w:val="none"/>
        </w:rPr>
      </w:pPr>
      <w:bookmarkStart w:id="51" w:name="_Toc150285151"/>
      <w:r>
        <w:rPr>
          <w:rFonts w:hint="default" w:ascii="Times New Roman" w:hAnsi="Times New Roman" w:cs="Times New Roman"/>
          <w:color w:val="auto"/>
          <w:highlight w:val="none"/>
        </w:rPr>
        <w:t>七、科技服务</w:t>
      </w:r>
      <w:bookmarkEnd w:id="51"/>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综合考虑土壤类型、土地利用、耕地质量、管理水平等因素，科学布设高标准农田耕地质量长期定位监测点（监测点密度一般3.5万亩左右建设1个），重点开展农田生产条件、土壤墒情、土壤主要理化性状、农业投入品、作物产量、农田设施管护等监测。推进良种、良法、良制、良田、良机“五良”融合，促进农机设计制造与农作物品种、种植模式等农艺技术相衔接，推进农机服务模式与农业适度规模经营相适应。推广科学施肥、病虫害绿色防控等农业技术，推进化肥农药减量化、种养循环和农业废弃物资源化综合利用，提高农业绿色发展水平。建成后农田监测系统网络健全，田间定位监测点布设密度符合要求，农业科技配套与应用完善，农作物耕种收综合机械化水平、良种覆盖率、科学施肥普及率、病虫害统防统治覆盖率等稳步提升。</w:t>
      </w:r>
    </w:p>
    <w:p>
      <w:pPr>
        <w:pStyle w:val="4"/>
        <w:ind w:firstLine="560"/>
        <w:rPr>
          <w:rFonts w:hint="default" w:ascii="Times New Roman" w:hAnsi="Times New Roman" w:cs="Times New Roman"/>
          <w:color w:val="auto"/>
          <w:highlight w:val="none"/>
        </w:rPr>
      </w:pPr>
      <w:bookmarkStart w:id="52" w:name="_Toc150285152"/>
      <w:r>
        <w:rPr>
          <w:rFonts w:hint="default" w:ascii="Times New Roman" w:hAnsi="Times New Roman" w:cs="Times New Roman"/>
          <w:color w:val="auto"/>
          <w:highlight w:val="none"/>
        </w:rPr>
        <w:t>八、管护利用</w:t>
      </w:r>
      <w:bookmarkEnd w:id="52"/>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落实高标准农田管护主体和责任，引导和激励大户、家庭农场、农民合作社、农民用水合作组织、涉农企业和村集体等参与高标准农田设施的运行管护。落实管护资金，加强资金使用监管。完善监测监管系统，全面动态掌握高标准农田建设、资金投入、建后管护、土地利用及耕地质量等级变化等情况。建成的高标准农田及时划为永久基本农田，实行特殊保护，遏制“非农化”、防止“非粮化”，确保高标准农田数量不减少、质量不降低。探索合理耕作制度，实行用地养地相结合，防止耕地地力下降。建成的高标准农田用途管控同步纳入“田长制”管理范围，加强日常监管。</w:t>
      </w:r>
    </w:p>
    <w:p>
      <w:pPr>
        <w:pStyle w:val="4"/>
        <w:ind w:firstLine="560"/>
        <w:rPr>
          <w:rFonts w:hint="default" w:ascii="Times New Roman" w:hAnsi="Times New Roman" w:cs="Times New Roman"/>
          <w:color w:val="auto"/>
          <w:highlight w:val="none"/>
        </w:rPr>
      </w:pPr>
      <w:bookmarkStart w:id="53" w:name="_Toc150285153"/>
      <w:r>
        <w:rPr>
          <w:rFonts w:hint="default" w:ascii="Times New Roman" w:hAnsi="Times New Roman" w:cs="Times New Roman"/>
          <w:color w:val="auto"/>
          <w:highlight w:val="none"/>
        </w:rPr>
        <w:t>九、体制机制</w:t>
      </w:r>
      <w:bookmarkEnd w:id="53"/>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构建统一规划布局、统一建设标准、统一组织实施、统一验收考核、统一上图入库的“五统一”农田建设管理新体制。建立完善高标准农田项目建设管理、资金使用、竣工验收、考核评价等制度体系，推进项目规范化管理。建立农田建设稳定增长投入机制，引导金融和社会资本投入，完善新增耕地指标调剂收益使用机制，拓展高标准农田建设资金投入渠道。结合农村集体产权制度改革，探索项目建管一体化新机制。积极培育新型农业经营主体和农业产业化联合体，探索推进“农户+合作社”“农户+公司”等模式，通过就业带动、股份合作等形式，构建利益结转机制，增加农民收入。</w:t>
      </w:r>
    </w:p>
    <w:p>
      <w:pPr>
        <w:ind w:firstLine="600"/>
        <w:rPr>
          <w:rFonts w:hint="default" w:ascii="Times New Roman" w:hAnsi="Times New Roman" w:cs="Times New Roman"/>
          <w:bCs/>
          <w:color w:val="auto"/>
          <w:highlight w:val="none"/>
        </w:rPr>
      </w:pPr>
    </w:p>
    <w:p>
      <w:pPr>
        <w:ind w:firstLine="600"/>
        <w:rPr>
          <w:rFonts w:hint="default" w:ascii="Times New Roman" w:hAnsi="Times New Roman" w:cs="Times New Roman"/>
          <w:bCs/>
          <w:color w:val="auto"/>
          <w:highlight w:val="none"/>
        </w:rPr>
        <w:sectPr>
          <w:footerReference r:id="rId20" w:type="default"/>
          <w:pgSz w:w="11906" w:h="16838"/>
          <w:pgMar w:top="2154" w:right="1417" w:bottom="2041" w:left="1531" w:header="851" w:footer="992" w:gutter="0"/>
          <w:cols w:space="425" w:num="1"/>
          <w:docGrid w:type="lines" w:linePitch="312" w:charSpace="0"/>
        </w:sectPr>
      </w:pPr>
    </w:p>
    <w:bookmarkEnd w:id="44"/>
    <w:p>
      <w:pPr>
        <w:pStyle w:val="3"/>
        <w:rPr>
          <w:rFonts w:hint="default" w:ascii="Times New Roman" w:hAnsi="Times New Roman" w:cs="Times New Roman"/>
          <w:bCs/>
          <w:color w:val="auto"/>
          <w:highlight w:val="none"/>
        </w:rPr>
      </w:pPr>
      <w:bookmarkStart w:id="54" w:name="_Toc150285154"/>
      <w:bookmarkStart w:id="55" w:name="_Toc5726"/>
      <w:r>
        <w:rPr>
          <w:rFonts w:hint="default" w:ascii="Times New Roman" w:hAnsi="Times New Roman" w:cs="Times New Roman"/>
          <w:bCs/>
          <w:color w:val="auto"/>
          <w:highlight w:val="none"/>
        </w:rPr>
        <w:t>第五章  建设分区及建设重点</w:t>
      </w:r>
      <w:bookmarkEnd w:id="54"/>
    </w:p>
    <w:p>
      <w:pPr>
        <w:pStyle w:val="4"/>
        <w:ind w:firstLine="560"/>
        <w:rPr>
          <w:rFonts w:hint="default" w:ascii="Times New Roman" w:hAnsi="Times New Roman" w:cs="Times New Roman"/>
          <w:color w:val="auto"/>
          <w:highlight w:val="none"/>
        </w:rPr>
      </w:pPr>
      <w:bookmarkStart w:id="56" w:name="_Toc98928893"/>
      <w:bookmarkStart w:id="57" w:name="_Toc150285155"/>
      <w:r>
        <w:rPr>
          <w:rFonts w:hint="default" w:ascii="Times New Roman" w:hAnsi="Times New Roman" w:cs="Times New Roman"/>
          <w:color w:val="auto"/>
          <w:highlight w:val="none"/>
        </w:rPr>
        <w:t>一、</w:t>
      </w:r>
      <w:bookmarkEnd w:id="56"/>
      <w:bookmarkStart w:id="58" w:name="_Toc98928894"/>
      <w:r>
        <w:rPr>
          <w:rFonts w:hint="default" w:ascii="Times New Roman" w:hAnsi="Times New Roman" w:cs="Times New Roman"/>
          <w:color w:val="auto"/>
          <w:highlight w:val="none"/>
        </w:rPr>
        <w:t>建设分区</w:t>
      </w:r>
      <w:bookmarkEnd w:id="57"/>
    </w:p>
    <w:bookmarkEnd w:id="58"/>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结合区域气候类型、地形地貌、水土条件、耕作制度等因素，依据高标准农田建设技术要求和投资标准，按照自然资源禀赋与经济条件相对一致、生产障碍因素与破解途径相对一致、粮食作物生产与农业区划相对一致的原则，将全县划分为西部片区、中部片区、东部片区等3个高标准农田建设区域，并确定分区建设任务和重点。</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（一）西部片区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1．区域范围</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该区包括玉蟾街道、福集镇、嘉明镇、喻寺镇、方洞镇、天兴镇、海潮镇、潮河镇、牛滩镇等9个镇（街道）。</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2．区域特征</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区位优越，交通便利，厦蓉高速、蓉遵高速穿境而过。地形地貌以浅丘宽谷为主，其中：浅丘占该区面积的81.16%，中丘占该区面积的16.93%，低山深丘约占该区面积的1.90%。该区大部地形平坦，土壤肥沃，是全县粮油重要分布区。区内种植作物类型主要为水稻、高粱、小麦、玉米、油菜，农田灌溉主要以区内中小型水库为主，已完成高标准农田建设区域田间道路设施较为完善，未开展的区域田间道杂乱。该区域主导产业为粮油产业，重点推进水稻高产创建和高粱高产创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3．高标准农田建设情况</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域内耕地面积42.27万亩，占全县耕地面积的38.83%，永久基本农田面积38.09万亩，占全县永久基本农田面积的38.84%，永久基本农田内已建高标准农田面积20.19万亩，未建高标准农田17.90万亩，2011—2018年已建高标准农田需提质改造规模为16.26万亩。</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表5-1 西部片区高标准农田建设基本情况表（单位：万亩）</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1114"/>
        <w:gridCol w:w="942"/>
        <w:gridCol w:w="1221"/>
        <w:gridCol w:w="1221"/>
        <w:gridCol w:w="1502"/>
        <w:gridCol w:w="21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7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行政区</w:t>
            </w:r>
          </w:p>
        </w:tc>
        <w:tc>
          <w:tcPr>
            <w:tcW w:w="60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耕地面积</w:t>
            </w:r>
          </w:p>
        </w:tc>
        <w:tc>
          <w:tcPr>
            <w:tcW w:w="51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永久基本农田面积</w:t>
            </w:r>
          </w:p>
        </w:tc>
        <w:tc>
          <w:tcPr>
            <w:tcW w:w="3306" w:type="pct"/>
            <w:gridSpan w:val="4"/>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永农范围内高标准农田基本情况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7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66"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666"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w:t>
            </w:r>
          </w:p>
        </w:tc>
        <w:tc>
          <w:tcPr>
            <w:tcW w:w="819"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w:t>
            </w:r>
          </w:p>
        </w:tc>
        <w:tc>
          <w:tcPr>
            <w:tcW w:w="1156"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可改造提升高标准农田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3.79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2.28</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1.70</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0.21</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6.43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5.92</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2.57</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3.06</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3.77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3.43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3.18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0.15</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0.10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5.00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4.70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2.41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2.14</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0.16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2.31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5.19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4.71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3.30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0.25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6.22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5.86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1.94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0.58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3.12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2.94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1.40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0.12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1.40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5.68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5.35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3.20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0.14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2.67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3.07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2.89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1.83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0.11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0.99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7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6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42.27 </w:t>
            </w:r>
          </w:p>
        </w:tc>
        <w:tc>
          <w:tcPr>
            <w:tcW w:w="5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38.09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20.19 </w:t>
            </w:r>
          </w:p>
        </w:tc>
        <w:tc>
          <w:tcPr>
            <w:tcW w:w="6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15.92 </w:t>
            </w:r>
          </w:p>
        </w:tc>
        <w:tc>
          <w:tcPr>
            <w:tcW w:w="8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1.98 </w:t>
            </w:r>
          </w:p>
        </w:tc>
        <w:tc>
          <w:tcPr>
            <w:tcW w:w="11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16.26 </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4．主要问题</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（1）低山深丘区耕地破碎化严重，田型不规则，不利于机械化作业；</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（2）土壤经过长期耕作和不合理施肥，存在有机质含量低、耕层浅等问题；</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（3）灌区末级渠系配套仍然不完善，灌溉水源保证率较低，灌溉及排涝效率较低；</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（4）农田主干道路和田间支路缺乏，道路建设标准低，不能有效满足宜机化作业。</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（二）中部片区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1．区域范围</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该区包括得胜镇、毗卢镇、石桥镇、玄滩镇、云龙镇、奇峰镇等6个镇。</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2．区域特征</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地形起伏，地形地貌包括浅丘宽谷、中丘、低山深，以浅丘宽谷和中丘为主，其中：浅丘占该区面积的82.73%，中丘占该区面积的13.78%，低山深丘占该区面积的3.49%，主要分布在玉蟾山、龙冠山一带。该区土壤肥沃，主要种植作物类型为水稻、高粱、小麦、玉米、油菜，农田灌溉主要以中小水库取水为主，田间道路系统总体较为完善。</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3．高标准农田建设情况</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域内耕地面积35.41万亩，占全县耕地面积的32.53%，永久基本农田面积32.55万亩，占全县永久基本农田面积的33.19%，永久基本农田内已建高标准农田面积14.08万亩，未建高标准农田18.47万亩，2011—2018年已建高标准农田需提质改造规模为10.29万亩。</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表5-2 中部片区高标准农田建设基本情况表（单位：万亩）</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28"/>
        <w:gridCol w:w="1127"/>
        <w:gridCol w:w="950"/>
        <w:gridCol w:w="1226"/>
        <w:gridCol w:w="1226"/>
        <w:gridCol w:w="1494"/>
        <w:gridCol w:w="21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6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行政区</w:t>
            </w:r>
          </w:p>
        </w:tc>
        <w:tc>
          <w:tcPr>
            <w:tcW w:w="61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耕地面积</w:t>
            </w:r>
          </w:p>
        </w:tc>
        <w:tc>
          <w:tcPr>
            <w:tcW w:w="51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永久基本农田面积</w:t>
            </w:r>
          </w:p>
        </w:tc>
        <w:tc>
          <w:tcPr>
            <w:tcW w:w="3308" w:type="pct"/>
            <w:gridSpan w:val="4"/>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永农范围内高标准农田基本情况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6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1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1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6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66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w:t>
            </w:r>
          </w:p>
        </w:tc>
        <w:tc>
          <w:tcPr>
            <w:tcW w:w="115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可改造提升高标准农田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5.66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5.33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2.98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0.32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2.98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9.35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8.67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3.49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4.72</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0.46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2.49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4.82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4.48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1.97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2.28</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0.23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1.97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4.97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4.26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2.03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0.52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0.03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5.13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4.68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1.62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2.76</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0.30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0.82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5.48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5.13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2.83</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0.31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6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6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35.41 </w:t>
            </w:r>
          </w:p>
        </w:tc>
        <w:tc>
          <w:tcPr>
            <w:tcW w:w="5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32.55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14.08 </w:t>
            </w:r>
          </w:p>
        </w:tc>
        <w:tc>
          <w:tcPr>
            <w:tcW w:w="66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16.34 </w:t>
            </w:r>
          </w:p>
        </w:tc>
        <w:tc>
          <w:tcPr>
            <w:tcW w:w="81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2.13 </w:t>
            </w:r>
          </w:p>
        </w:tc>
        <w:tc>
          <w:tcPr>
            <w:tcW w:w="11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10.29 </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4．主要问题</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（1）以浅丘为主，中低产田比重较大，区内田型不规则，呈零散分布，不利于发展节水农业和机械化作业；</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（2）水源总体有保障，但是水利设施配套较差，灌溉水源保证率较低；</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（3）农田主干道路和田间支路缺乏，建设标准偏低，距离宜机化作业尚有很大的差距。</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（三）东部片区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1．区域范围</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该区包括百和镇、立石镇、兆雅镇、云锦镇、太伏镇等5个镇。</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2．区域特征</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以中丘和浅丘宽谷为主，其中：浅丘占该区面积的82.84%，主要分布在兆雅镇、立石镇、云锦、百和等镇，中丘和深丘占该区面积的17.16%，主要分布该区的南部和东部区域，以太伏镇分布面积最大。该区土壤质量总体较好，适宜多种粮食作物、经济作物生长。片区内种植作物类型主要为水稻、小麦、玉米，农田灌溉主要以中小型水库和山坪塘为水源。</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3．高标准农田建设情况</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域内耕地面积31.18万亩，占全县耕地面积的28.64%，永久基本农田面积27.44万亩，占全县永久基本农田面积的27.98%，永久基本农田内已建高标准农田面积13.64万亩，未建高标准农田13.80万亩，2011—2018年已建高标准农田需提质改造规模为9.66万亩。</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表5-3 东部片区高标准农田建设基本情况表（单位：万亩）</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21"/>
        <w:gridCol w:w="1108"/>
        <w:gridCol w:w="938"/>
        <w:gridCol w:w="1237"/>
        <w:gridCol w:w="1237"/>
        <w:gridCol w:w="1521"/>
        <w:gridCol w:w="21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55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行政区</w:t>
            </w:r>
          </w:p>
        </w:tc>
        <w:tc>
          <w:tcPr>
            <w:tcW w:w="60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耕地面积</w:t>
            </w:r>
          </w:p>
        </w:tc>
        <w:tc>
          <w:tcPr>
            <w:tcW w:w="5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永久基本农田面积</w:t>
            </w:r>
          </w:p>
        </w:tc>
        <w:tc>
          <w:tcPr>
            <w:tcW w:w="3328" w:type="pct"/>
            <w:gridSpan w:val="4"/>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永农范围内高标准农田基本情况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blHeader/>
        </w:trPr>
        <w:tc>
          <w:tcPr>
            <w:tcW w:w="557"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74"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674"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w:t>
            </w:r>
          </w:p>
        </w:tc>
        <w:tc>
          <w:tcPr>
            <w:tcW w:w="829"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w:t>
            </w:r>
          </w:p>
        </w:tc>
        <w:tc>
          <w:tcPr>
            <w:tcW w:w="1151"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可改造提升高标准农田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bookmarkStart w:id="59" w:name="_Hlk148476655"/>
            <w:r>
              <w:rPr>
                <w:rFonts w:hint="default" w:ascii="Times New Roman" w:hAnsi="Times New Roman" w:cs="Times New Roman"/>
                <w:bCs/>
                <w:color w:val="auto"/>
                <w:sz w:val="21"/>
                <w:szCs w:val="21"/>
                <w:highlight w:val="none"/>
              </w:rPr>
              <w:t>兆雅镇</w:t>
            </w:r>
          </w:p>
        </w:tc>
        <w:tc>
          <w:tcPr>
            <w:tcW w:w="6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3.69 </w:t>
            </w:r>
          </w:p>
        </w:tc>
        <w:tc>
          <w:tcPr>
            <w:tcW w:w="51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3.45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2.07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0.11 </w:t>
            </w:r>
          </w:p>
        </w:tc>
        <w:tc>
          <w:tcPr>
            <w:tcW w:w="115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6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8.54 </w:t>
            </w:r>
          </w:p>
        </w:tc>
        <w:tc>
          <w:tcPr>
            <w:tcW w:w="51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7.02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2.95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0.79 </w:t>
            </w:r>
          </w:p>
        </w:tc>
        <w:tc>
          <w:tcPr>
            <w:tcW w:w="115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2.81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6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8.08 </w:t>
            </w:r>
          </w:p>
        </w:tc>
        <w:tc>
          <w:tcPr>
            <w:tcW w:w="51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7.06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3.04</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0.63 </w:t>
            </w:r>
          </w:p>
        </w:tc>
        <w:tc>
          <w:tcPr>
            <w:tcW w:w="115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1.83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6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4.47 </w:t>
            </w:r>
          </w:p>
        </w:tc>
        <w:tc>
          <w:tcPr>
            <w:tcW w:w="51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4.05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2.08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1.74</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0.23 </w:t>
            </w:r>
          </w:p>
        </w:tc>
        <w:tc>
          <w:tcPr>
            <w:tcW w:w="115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6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6.40 </w:t>
            </w:r>
          </w:p>
        </w:tc>
        <w:tc>
          <w:tcPr>
            <w:tcW w:w="51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5.86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3.13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2.37</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0.35 </w:t>
            </w:r>
          </w:p>
        </w:tc>
        <w:tc>
          <w:tcPr>
            <w:tcW w:w="115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1.78 </w:t>
            </w:r>
          </w:p>
        </w:tc>
      </w:tr>
      <w:bookmarkEnd w:id="59"/>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5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6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31.18 </w:t>
            </w:r>
          </w:p>
        </w:tc>
        <w:tc>
          <w:tcPr>
            <w:tcW w:w="51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27.44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13.64 </w:t>
            </w:r>
          </w:p>
        </w:tc>
        <w:tc>
          <w:tcPr>
            <w:tcW w:w="67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11.69 </w:t>
            </w:r>
          </w:p>
        </w:tc>
        <w:tc>
          <w:tcPr>
            <w:tcW w:w="8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2.11 </w:t>
            </w:r>
          </w:p>
        </w:tc>
        <w:tc>
          <w:tcPr>
            <w:tcW w:w="115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9.66 </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4．主要问题</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（1）耕地田型不规则，土壤有机质含量较低，土层较薄，中低产田占比较大；</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（2）区内水利设施配套较差，灌区末级渠系配套不完善，排灌设施缺乏，灌溉水利用系数较低；</w:t>
      </w:r>
    </w:p>
    <w:p>
      <w:pPr>
        <w:ind w:firstLine="600"/>
        <w:rPr>
          <w:rFonts w:hint="default" w:ascii="Times New Roman" w:hAnsi="Times New Roman" w:cs="Times New Roman"/>
          <w:bCs/>
          <w:color w:val="auto"/>
          <w:szCs w:val="30"/>
          <w:highlight w:val="none"/>
        </w:rPr>
      </w:pPr>
      <w:r>
        <w:rPr>
          <w:rFonts w:hint="default" w:ascii="Times New Roman" w:hAnsi="Times New Roman" w:cs="Times New Roman"/>
          <w:bCs/>
          <w:color w:val="auto"/>
          <w:highlight w:val="none"/>
        </w:rPr>
        <w:t>（3）部分通社道路路况较差，需要通过整治；硬化的田间支路较少，机械耕作十分不便。</w:t>
      </w:r>
    </w:p>
    <w:p>
      <w:pPr>
        <w:pStyle w:val="2"/>
        <w:ind w:firstLine="600"/>
        <w:rPr>
          <w:rFonts w:hint="default" w:ascii="Times New Roman" w:hAnsi="Times New Roman" w:cs="Times New Roman"/>
          <w:bCs/>
          <w:color w:val="auto"/>
          <w:highlight w:val="none"/>
        </w:rPr>
        <w:sectPr>
          <w:footerReference r:id="rId21" w:type="default"/>
          <w:pgSz w:w="11906" w:h="16838"/>
          <w:pgMar w:top="2154" w:right="1417" w:bottom="2041" w:left="1531" w:header="851" w:footer="850" w:gutter="0"/>
          <w:cols w:space="425" w:num="1"/>
          <w:docGrid w:type="lines" w:linePitch="312" w:charSpace="0"/>
        </w:sectPr>
      </w:pPr>
    </w:p>
    <w:p>
      <w:pPr>
        <w:pStyle w:val="2"/>
        <w:ind w:firstLine="420"/>
        <w:jc w:val="center"/>
        <w:rPr>
          <w:rFonts w:hint="default" w:ascii="Times New Roman" w:hAnsi="Times New Roman" w:cs="Times New Roman"/>
          <w:bCs/>
          <w:color w:val="auto"/>
          <w:kern w:val="0"/>
          <w:sz w:val="21"/>
          <w:szCs w:val="30"/>
          <w:highlight w:val="none"/>
        </w:rPr>
      </w:pPr>
      <w:r>
        <w:rPr>
          <w:rFonts w:hint="default" w:ascii="Times New Roman" w:hAnsi="Times New Roman" w:cs="Times New Roman"/>
          <w:bCs/>
          <w:color w:val="auto"/>
          <w:kern w:val="0"/>
          <w:sz w:val="21"/>
          <w:szCs w:val="30"/>
          <w:highlight w:val="none"/>
        </w:rPr>
        <w:drawing>
          <wp:inline distT="0" distB="0" distL="0" distR="0">
            <wp:extent cx="6953250" cy="4686300"/>
            <wp:effectExtent l="0" t="0" r="0" b="0"/>
            <wp:docPr id="12971029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02964" name="图片 9"/>
                    <pic:cNvPicPr>
                      <a:picLocks noChangeAspect="1"/>
                    </pic:cNvPicPr>
                  </pic:nvPicPr>
                  <pic:blipFill>
                    <a:blip r:embed="rId30" cstate="print">
                      <a:extLst>
                        <a:ext uri="{28A0092B-C50C-407E-A947-70E740481C1C}">
                          <a14:useLocalDpi xmlns:a14="http://schemas.microsoft.com/office/drawing/2010/main" val="0"/>
                        </a:ext>
                      </a:extLst>
                    </a:blip>
                    <a:srcRect l="3955" t="4151" r="2909" b="7062"/>
                    <a:stretch>
                      <a:fillRect/>
                    </a:stretch>
                  </pic:blipFill>
                  <pic:spPr>
                    <a:xfrm>
                      <a:off x="0" y="0"/>
                      <a:ext cx="6953250" cy="4686300"/>
                    </a:xfrm>
                    <a:prstGeom prst="rect">
                      <a:avLst/>
                    </a:prstGeom>
                    <a:ln>
                      <a:noFill/>
                    </a:ln>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图5-1 泸县2023—2032年高标准农田建设分区图</w:t>
      </w:r>
    </w:p>
    <w:p>
      <w:pPr>
        <w:pStyle w:val="2"/>
        <w:spacing w:after="60"/>
        <w:ind w:firstLine="0" w:firstLineChars="0"/>
        <w:jc w:val="center"/>
        <w:rPr>
          <w:rFonts w:hint="default" w:ascii="Times New Roman" w:hAnsi="Times New Roman" w:cs="Times New Roman"/>
          <w:bCs/>
          <w:color w:val="auto"/>
          <w:sz w:val="28"/>
          <w:szCs w:val="28"/>
          <w:highlight w:val="none"/>
        </w:rPr>
        <w:sectPr>
          <w:pgSz w:w="16838" w:h="11906" w:orient="landscape"/>
          <w:pgMar w:top="1797" w:right="1440" w:bottom="1797" w:left="1440" w:header="851" w:footer="992" w:gutter="0"/>
          <w:cols w:space="425" w:num="1"/>
          <w:docGrid w:type="linesAndChars" w:linePitch="312" w:charSpace="0"/>
        </w:sectPr>
      </w:pPr>
    </w:p>
    <w:p>
      <w:pPr>
        <w:pStyle w:val="4"/>
        <w:ind w:firstLine="560"/>
        <w:rPr>
          <w:rFonts w:hint="default" w:ascii="Times New Roman" w:hAnsi="Times New Roman" w:cs="Times New Roman"/>
          <w:color w:val="auto"/>
          <w:highlight w:val="none"/>
        </w:rPr>
      </w:pPr>
      <w:bookmarkStart w:id="60" w:name="_Toc150285156"/>
      <w:r>
        <w:rPr>
          <w:rFonts w:hint="default" w:ascii="Times New Roman" w:hAnsi="Times New Roman" w:cs="Times New Roman"/>
          <w:color w:val="auto"/>
          <w:highlight w:val="none"/>
        </w:rPr>
        <w:t>二、建设重点</w:t>
      </w:r>
      <w:bookmarkEnd w:id="60"/>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w:t>
      </w:r>
      <w:bookmarkStart w:id="61" w:name="_Hlk143596559"/>
      <w:r>
        <w:rPr>
          <w:rFonts w:hint="default" w:ascii="Times New Roman" w:hAnsi="Times New Roman" w:eastAsia="楷体_GB2312" w:cs="Times New Roman"/>
          <w:bCs/>
          <w:color w:val="auto"/>
          <w:highlight w:val="none"/>
        </w:rPr>
        <w:t>西部片区</w:t>
      </w:r>
      <w:bookmarkEnd w:id="61"/>
    </w:p>
    <w:p>
      <w:pPr>
        <w:ind w:firstLine="600"/>
        <w:rPr>
          <w:rFonts w:hint="default" w:ascii="Times New Roman" w:hAnsi="Times New Roman" w:cs="Times New Roman"/>
          <w:bCs/>
          <w:color w:val="auto"/>
          <w:highlight w:val="none"/>
        </w:rPr>
      </w:pPr>
      <w:bookmarkStart w:id="62" w:name="_Hlk106870931"/>
      <w:r>
        <w:rPr>
          <w:rFonts w:hint="default" w:ascii="Times New Roman" w:hAnsi="Times New Roman" w:cs="Times New Roman"/>
          <w:bCs/>
          <w:color w:val="auto"/>
          <w:highlight w:val="none"/>
        </w:rPr>
        <w:t>该区建设重点在于改善区域土地利用率，改善当地的水源条件，提高灌溉水利用系数，大力推广高效节水，完善农业生产基础设施。</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农业措施。通过田型调整，将原本不规则和零散的田块整合起来，整合成更大、更平、更规整的农田，可以减少田埂所占比例，增大农田的比例；通过大力推广施用农家肥、秸秆还田、种植绿肥等农艺技术改良土壤；通过测土配方施肥，结合耕作需求施用有机肥料，使肥土相融，平衡土壤养分；通过实行合理深翻深松土地，改善农田耕作层。</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水利措施。通过渠道的配套建设，将改善输水条件，同时建设泵站等，以改善片区内的供水水源问题；通过硬化农渠，配套相应附属设施，提高灌溉和排涝的效率，提高灌溉水利用系数；加大管道灌溉模式的发展力度，节约耕地资源的同时，提高设施建设水平；粮油生产区主要配套管道灌溉，并大力推广喷灌、滴管等节水灌溉模式。</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3．道路措施。通过硬化道路及完善相应道路设施，以提高道路通达度为主要目的，适当提高道路标准，配套道路设施，提高农田机械化耕作程度。</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科技推广措施。做好高标准农田耕地质量监测；推进良种、良法、良制、良田、良机“五良”融合；推广科学施肥、病虫害绿色防控等农业技术，推进化肥农药减量化、种养循环和农业废弃物资源化综合利用，提高农业绿色发展水平。</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5．农田防护与生态环境保护。在水土流失易发区合理修筑截水沟、排洪沟等坡面水系工程。农田防护面积比例不低于90%。</w:t>
      </w:r>
    </w:p>
    <w:bookmarkEnd w:id="62"/>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（二）中部片区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建设重点在于提高田块的利用率，改善当地水源，提高灌溉水利用系数，大力发展高效节水，完善农业生产基础设施，提高机械化水平。</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农业措施。将田块格田化和梯田化，提高田块的利用率；通过大力推广施用农家肥、秸秆还田、种植绿肥等农艺技术改良土壤；通过测土配方施肥，结合耕作需求施用有机肥料，使肥土相融，平衡土壤养分；通过实行合理深翻深松土地，改善农田耕作层。</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水利措施。通过整治山坪塘和建设泵站等，改善片区内的供水水源问题；通过硬化斗农渠，配套相应附属设施，提高灌溉和排涝的效率，提高灌溉水利用系数；大力发展管道灌溉模式的发展力度，减少水量损失的同时，节约耕地资源；并大力推广喷灌、滴灌等节水灌溉模式。提高灌溉水有效利用系数为核心，加强灌区配套与节水改造，调整农业种植结构；积极推广和普及田间节水技术。</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3．道路措施。通过硬化道路及完善相应道路设施，以提高道路通达度为主要目的，适当提高道路标准，配套道路设施，提高农田机械化耕作程度。</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科技推广措施。做好高标准农田耕地质量监测；推进良种、良法、良制、良田、良机“五良”融合；推广科学施肥、病虫害绿色防控等农业技术，推进化肥农药减量化、种养循环和农业废弃物资源化综合利用，提高农业绿色发展水平。</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5．农田防护与生态环境保护。在水土流失易发区合理修筑截水沟、排洪沟等坡面水系工程。农田防护面积比例不低于90%。</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（三）东部片区</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该区建设重点在于改善区域农田水利设施，提高灌溉水利用系数，发展高效节水工程，改善农业生产基础条件，提高机械化水平。</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农业措施。通过大力推广施用农家肥、秸秆还田、种植绿肥等农艺技术改良土壤；通过测土配方施肥，结合耕作需求施用有机肥料，使肥土相融，平衡土壤养分；通过实行合理深翻深松土地，改善农田耕作层。</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水利措施。结合三溪口水库和艾大桥水库等灌区工程建设，改善区域内农田供水条件，通过整治山坪塘、整治或新建提灌站等保障水源供水；通过硬化渠道、建设输水管道及配套相应附属设施，提高灌溉和排涝的效率，提高灌溉水利用系数。</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3．道路措施。通过硬化道路及完善相应道路设施，以提高道路通达度为主要目的，适当提高道路标准，配套道路设施，提高农田机械化耕作程度。</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科技推广措施。做好高标准农田耕地质量监测；推进良种、良法、良制、良田、良机“五良”融合；推广科学施肥、病虫害绿色防控等农业技术，推进化肥农药减量化、种养循环和农业废弃物资源化综合利用，提高农业绿色发展水平。</w:t>
      </w:r>
    </w:p>
    <w:p>
      <w:pPr>
        <w:ind w:firstLine="600"/>
        <w:rPr>
          <w:rFonts w:hint="default" w:ascii="Times New Roman" w:hAnsi="Times New Roman" w:cs="Times New Roman"/>
          <w:bCs/>
          <w:color w:val="auto"/>
          <w:szCs w:val="30"/>
          <w:highlight w:val="none"/>
        </w:rPr>
      </w:pPr>
      <w:r>
        <w:rPr>
          <w:rFonts w:hint="default" w:ascii="Times New Roman" w:hAnsi="Times New Roman" w:cs="Times New Roman"/>
          <w:bCs/>
          <w:color w:val="auto"/>
          <w:highlight w:val="none"/>
        </w:rPr>
        <w:t>5．农田防护与生态环境保护。在水土流失易发区合理修筑截水沟、排洪沟等坡面水系工程。农田防护面积比例不低于90%。</w:t>
      </w:r>
    </w:p>
    <w:p>
      <w:pPr>
        <w:pStyle w:val="2"/>
        <w:spacing w:after="0" w:line="560" w:lineRule="exact"/>
        <w:ind w:firstLine="600"/>
        <w:rPr>
          <w:rFonts w:hint="default" w:ascii="Times New Roman" w:hAnsi="Times New Roman" w:cs="Times New Roman"/>
          <w:bCs/>
          <w:color w:val="auto"/>
          <w:kern w:val="0"/>
          <w:szCs w:val="30"/>
          <w:highlight w:val="none"/>
        </w:rPr>
        <w:sectPr>
          <w:pgSz w:w="11906" w:h="16838"/>
          <w:pgMar w:top="2154" w:right="1417" w:bottom="2041" w:left="1531" w:header="851" w:footer="850" w:gutter="0"/>
          <w:cols w:space="425" w:num="1"/>
          <w:docGrid w:type="lines" w:linePitch="312" w:charSpace="0"/>
        </w:sectPr>
      </w:pPr>
    </w:p>
    <w:p>
      <w:pPr>
        <w:pStyle w:val="3"/>
        <w:rPr>
          <w:rFonts w:hint="default" w:ascii="Times New Roman" w:hAnsi="Times New Roman" w:cs="Times New Roman"/>
          <w:bCs/>
          <w:color w:val="auto"/>
          <w:highlight w:val="none"/>
        </w:rPr>
      </w:pPr>
      <w:bookmarkStart w:id="63" w:name="_Toc150285157"/>
      <w:r>
        <w:rPr>
          <w:rFonts w:hint="default" w:ascii="Times New Roman" w:hAnsi="Times New Roman" w:cs="Times New Roman"/>
          <w:bCs/>
          <w:color w:val="auto"/>
          <w:highlight w:val="none"/>
        </w:rPr>
        <w:t>第六章  建设任务和</w:t>
      </w:r>
      <w:bookmarkEnd w:id="55"/>
      <w:r>
        <w:rPr>
          <w:rFonts w:hint="default" w:ascii="Times New Roman" w:hAnsi="Times New Roman" w:cs="Times New Roman"/>
          <w:bCs/>
          <w:color w:val="auto"/>
          <w:highlight w:val="none"/>
        </w:rPr>
        <w:t>示范建设</w:t>
      </w:r>
      <w:bookmarkEnd w:id="63"/>
    </w:p>
    <w:p>
      <w:pPr>
        <w:pStyle w:val="4"/>
        <w:ind w:firstLine="564"/>
        <w:rPr>
          <w:rFonts w:hint="default" w:ascii="Times New Roman" w:hAnsi="Times New Roman" w:cs="Times New Roman"/>
          <w:color w:val="auto"/>
          <w:highlight w:val="none"/>
        </w:rPr>
      </w:pPr>
      <w:bookmarkStart w:id="64" w:name="_Toc150285158"/>
      <w:bookmarkStart w:id="65" w:name="_Toc4607"/>
      <w:r>
        <w:rPr>
          <w:rFonts w:hint="default" w:ascii="Times New Roman" w:hAnsi="Times New Roman" w:cs="Times New Roman"/>
          <w:color w:val="auto"/>
          <w:highlight w:val="none"/>
        </w:rPr>
        <w:t>一、建设任务</w:t>
      </w:r>
      <w:bookmarkEnd w:id="64"/>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（一）分镇建设任务</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按照“统筹规划、突出重点、发挥优势、兼顾均衡”的原则，以永久基本农田为核心，坚持新建和改造提升并重，合理确定各镇、各村高标准农田建设任务，到2032年逐步有序把全县符合立项条件的永久基本农田全部建成高标准农田。规划实施过程中，根据各镇村耕地和永久基本农田保护任务变化情况、高标准农田建设绩效评价结果等，可按照程序对各镇村的高标准农田建设任务实行动态调整。</w:t>
      </w:r>
    </w:p>
    <w:bookmarkEnd w:id="65"/>
    <w:p>
      <w:pPr>
        <w:ind w:firstLine="604"/>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Cs w:val="32"/>
          <w:highlight w:val="none"/>
        </w:rPr>
        <w:t>2023—2032年全县分镇建设任务具体见表6-1。</w:t>
      </w:r>
    </w:p>
    <w:p>
      <w:pPr>
        <w:ind w:firstLine="0" w:firstLineChars="0"/>
        <w:jc w:val="center"/>
        <w:rPr>
          <w:rFonts w:hint="default" w:ascii="Times New Roman" w:hAnsi="Times New Roman" w:cs="Times New Roman"/>
          <w:bCs/>
          <w:color w:val="auto"/>
          <w:sz w:val="24"/>
          <w:szCs w:val="24"/>
          <w:highlight w:val="none"/>
        </w:rPr>
        <w:sectPr>
          <w:footerReference r:id="rId22" w:type="default"/>
          <w:pgSz w:w="11905" w:h="16838"/>
          <w:pgMar w:top="2154" w:right="1418" w:bottom="2041" w:left="1531" w:header="851" w:footer="850" w:gutter="0"/>
          <w:cols w:space="0" w:num="1"/>
          <w:docGrid w:type="linesAndChars" w:linePitch="319" w:charSpace="39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表6-1  2023—2032年泸县分镇高标准农田建设规划建设任务表</w:t>
      </w:r>
    </w:p>
    <w:tbl>
      <w:tblPr>
        <w:tblStyle w:val="44"/>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393"/>
        <w:gridCol w:w="1393"/>
        <w:gridCol w:w="1393"/>
        <w:gridCol w:w="1393"/>
        <w:gridCol w:w="1393"/>
        <w:gridCol w:w="1394"/>
        <w:gridCol w:w="1394"/>
        <w:gridCol w:w="1394"/>
        <w:gridCol w:w="1394"/>
        <w:gridCol w:w="139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500"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新建高标准农田（万亩）</w:t>
            </w:r>
          </w:p>
        </w:tc>
        <w:tc>
          <w:tcPr>
            <w:tcW w:w="1500"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改造提升高标准农田（万亩）</w:t>
            </w:r>
          </w:p>
        </w:tc>
        <w:tc>
          <w:tcPr>
            <w:tcW w:w="1500"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其中：高效节水灌溉面积（万亩）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2023—2025年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2026—2030年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2031—2032年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2023—2025年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2026—2030年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2031—2032年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2023—2025年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2026—2030年</w:t>
            </w:r>
          </w:p>
        </w:tc>
        <w:tc>
          <w:tcPr>
            <w:tcW w:w="5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2031—2032年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1.79</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0.34</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2.99</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0.94</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15.56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23.12</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12.89</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17.88</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5.44</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1.96</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2.57</w:t>
            </w:r>
          </w:p>
        </w:tc>
        <w:tc>
          <w:tcPr>
            <w:tcW w:w="50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r>
    </w:tbl>
    <w:p>
      <w:pPr>
        <w:pStyle w:val="2"/>
        <w:ind w:firstLine="420"/>
        <w:rPr>
          <w:rFonts w:hint="default" w:ascii="Times New Roman" w:hAnsi="Times New Roman" w:cs="Times New Roman"/>
          <w:bCs/>
          <w:color w:val="auto"/>
          <w:sz w:val="21"/>
          <w:szCs w:val="21"/>
          <w:highlight w:val="none"/>
        </w:rPr>
        <w:sectPr>
          <w:pgSz w:w="16838" w:h="11905" w:orient="landscape"/>
          <w:pgMar w:top="1588" w:right="1418" w:bottom="1418" w:left="1701" w:header="851" w:footer="850" w:gutter="0"/>
          <w:cols w:space="0" w:num="1"/>
          <w:docGrid w:type="lines" w:linePitch="319" w:charSpace="390"/>
        </w:sectPr>
      </w:pPr>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（二）分年度建设任务</w:t>
      </w:r>
    </w:p>
    <w:p>
      <w:pPr>
        <w:ind w:firstLine="604"/>
        <w:rPr>
          <w:rFonts w:hint="default" w:ascii="Times New Roman" w:hAnsi="Times New Roman" w:cs="Times New Roman"/>
          <w:bCs/>
          <w:color w:val="auto"/>
          <w:szCs w:val="32"/>
          <w:highlight w:val="none"/>
        </w:rPr>
      </w:pPr>
      <w:bookmarkStart w:id="66" w:name="_Hlk144220629"/>
      <w:r>
        <w:rPr>
          <w:rFonts w:hint="default" w:ascii="Times New Roman" w:hAnsi="Times New Roman" w:cs="Times New Roman"/>
          <w:bCs/>
          <w:color w:val="auto"/>
          <w:highlight w:val="none"/>
        </w:rPr>
        <w:t>2023—2032年全县新建高标准农田43.95万亩，改造提升高标准农田36.21万亩，新增高效节水灌溉面积5.66万亩</w:t>
      </w:r>
      <w:bookmarkEnd w:id="66"/>
      <w:r>
        <w:rPr>
          <w:rFonts w:hint="default" w:ascii="Times New Roman" w:hAnsi="Times New Roman" w:cs="Times New Roman"/>
          <w:bCs/>
          <w:color w:val="auto"/>
          <w:highlight w:val="none"/>
        </w:rPr>
        <w:t>。分年度建设任务具体见表6.2-1、6.2-2和6.2-3。</w:t>
      </w:r>
    </w:p>
    <w:p>
      <w:pPr>
        <w:ind w:firstLine="0" w:firstLineChars="0"/>
        <w:jc w:val="center"/>
        <w:rPr>
          <w:rFonts w:hint="default" w:ascii="Times New Roman" w:hAnsi="Times New Roman" w:cs="Times New Roman"/>
          <w:bCs/>
          <w:color w:val="auto"/>
          <w:sz w:val="24"/>
          <w:szCs w:val="24"/>
          <w:highlight w:val="none"/>
        </w:rPr>
        <w:sectPr>
          <w:pgSz w:w="11905" w:h="16838"/>
          <w:pgMar w:top="2154" w:right="1418" w:bottom="2041" w:left="1531" w:header="851" w:footer="850" w:gutter="0"/>
          <w:cols w:space="0" w:num="1"/>
          <w:docGrid w:type="linesAndChars" w:linePitch="319" w:charSpace="39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表6.2-1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888"/>
        <w:gridCol w:w="1240"/>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841"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276"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石鸭滩村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陈沱村、古桥村、雷达村、齐心村、兴隆村、赵南村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1.59</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大山村、石龙井村、双石村、王坪村、玉溪村、张枣村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0.66</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龙井村、天台寺村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艾大桥村、柏杨村、普照村、三溪村、天堂村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2.06</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0.17</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1.78</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东林观村、四合村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0.98</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23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场口村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0.41</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0.41</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三界村、宋田村、雨锋村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0.46</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0.78</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10.71</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7.74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古桥村、雷坝村、新桥村、赵南村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刁河村、黄坭村、黄泥滩村、平安村、石鹅沟村、太阳村、涂场村、玉石村、朱和村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3.04</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3.03</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王庄村、五谷寺村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志城村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三界村、石牌坊村、宋田村、薛湾村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续（1） 表6.2-1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531"/>
        <w:gridCol w:w="1597"/>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1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404"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黄金村、九曲河村、龙朝村、马溪河村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财政公山、草坝村、大桥村、雷公村、林试站、螺蛳山村、茂盛村、清华村、沙土村、团仓村、赵岩村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雷达村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潮河村、伏鱼村、桂凤村、红兴村、天堂坝村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田坝村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陈田村、董湾村、庆丰村、新联村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9.13</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5.45</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龙阴沟村、荞子坝村、上顶山村、顺民村、桐乐村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大水河村、高家咀村、伏耳村、葛藤湾村、两河村、龙河村、龙滩子村、先锋村、英雄村、战旗村、朱梅滩村、杨高村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3.63</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宝丰村、红木村、石城村、阳高村、渔庆村、玉田村、长林村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2.10</w:t>
            </w:r>
          </w:p>
        </w:tc>
        <w:tc>
          <w:tcPr>
            <w:tcW w:w="23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8.56</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续（2） 表6.2-1  2023—2032年泸县新建高标准农田分年度建设任务表</w:t>
      </w:r>
    </w:p>
    <w:tbl>
      <w:tblPr>
        <w:tblStyle w:val="44"/>
        <w:tblW w:w="483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1195"/>
        <w:gridCol w:w="3414"/>
        <w:gridCol w:w="1540"/>
        <w:gridCol w:w="1224"/>
        <w:gridCol w:w="1009"/>
        <w:gridCol w:w="1006"/>
        <w:gridCol w:w="1125"/>
        <w:gridCol w:w="1424"/>
        <w:gridCol w:w="6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09"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399"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6"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4" w:hRule="atLeast"/>
        </w:trPr>
        <w:tc>
          <w:tcPr>
            <w:tcW w:w="336"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白龙塔村、代桥村、古二井村、建设社区、工矿社区、清溪社区</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0.51</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4"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罗桥村、少华村、石燕村、双河口村、大同村、复兴村、葛林湾村、护松村、团山堡村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3.05</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0.25</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海罗村、劳动村、龙凤村、涂丰村、新屋村、中心村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2.65</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0.82</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1.84</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1.59</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4"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高楼湾村、莲花村、毛楼村、荞子坡村、沙子坪村、下林村、雄峰村、中峰村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2.37</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0.21</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艾大桥村、水鸭池村、下湾村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1.37</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0.86</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0.51</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屈湾村、石牌坊村、雨锋村、增湾村、邹寺村、国有林场</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2.06</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1.65</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0.39</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小白村、徐场村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0.74</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0.36</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13.49</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7.11</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6.37</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0.76</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5.61</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续（3）表6.2-1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2"/>
        <w:gridCol w:w="1380"/>
        <w:gridCol w:w="3746"/>
        <w:gridCol w:w="1235"/>
        <w:gridCol w:w="1349"/>
        <w:gridCol w:w="1148"/>
        <w:gridCol w:w="1148"/>
        <w:gridCol w:w="1168"/>
        <w:gridCol w:w="1190"/>
        <w:gridCol w:w="6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839"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2170" w:type="pct"/>
            <w:gridSpan w:val="5"/>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42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4"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427"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w:t>
            </w: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大坪村、金钱村、万宝村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0.87</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2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陈沱村、国有林场、红卫水库管理、齐心村、谭坝村、桐远社区、兴隆村、兴顺社区、鸦峰岩村、周堰村、红木村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2.55</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1.69</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0.86</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0.34</w:t>
            </w:r>
          </w:p>
        </w:tc>
        <w:tc>
          <w:tcPr>
            <w:tcW w:w="2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寿尊村、团结村、新林村、赵湾村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0.27</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0.98</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0.89</w:t>
            </w:r>
          </w:p>
        </w:tc>
        <w:tc>
          <w:tcPr>
            <w:tcW w:w="2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红兴村、后湾村、龙江村、唐寺村、天才村、朱家坪村、王坪村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3.38</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2.43</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0.44</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1.99</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1.55</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板栗村、曹湾村、场口村、龙凤村、一心村、垣山村、横江村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2.28</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1.40</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陈湾村、红合村、尖山村、流滩坝村、龙塘村、兴盛社区</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1.48</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0.67</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0.59</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12.48</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6.02</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6.46</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5.66</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4.47</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续（4）表6.2-1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531"/>
        <w:gridCol w:w="1597"/>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1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404"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龙华村、神龙村、水竹林村、小马滩村、玉蟾村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国有林场、李子村、石鸭滩村、小冲子村、鱼目村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1.61</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大石坪村、凤鸣村、古佛村、两河村、石龙村、型家村、燕岩村、永和村、安贤社区</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金龙寺村、老油房村、通山村、玄丰村、易湾村、柏杨村、喻坪社区</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2.23</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王坪村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斑竹林村、板桥村、花园村、黄泥堡村、骑龙寺村、湾头村、卫和村、云丰村、国有林场</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3.40</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东岳村、军大丘村、兴隆嘴村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1.61</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7.40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4.60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续（5）表6.2-1  2023—2032年泸县新建高标准农田分年度建设任务表</w:t>
      </w:r>
    </w:p>
    <w:tbl>
      <w:tblPr>
        <w:tblStyle w:val="44"/>
        <w:tblW w:w="476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8"/>
        <w:gridCol w:w="1175"/>
        <w:gridCol w:w="3362"/>
        <w:gridCol w:w="1512"/>
        <w:gridCol w:w="1201"/>
        <w:gridCol w:w="997"/>
        <w:gridCol w:w="989"/>
        <w:gridCol w:w="989"/>
        <w:gridCol w:w="1517"/>
        <w:gridCol w:w="6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4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07"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396"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4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4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白象村、高石塔村、门斗山村、大水坝村、得胜村、东皇殿村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2.08</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0.14</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0.71</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0.70</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八甲村、白洋村、革新村、横江村、建设村、接龙村、天全村、坳田村、红旗村、天才村、王坝村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2.82</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2.45</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0.12</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大王山村、大堰村、红山村、洪安桥村、黄荆湾村、吉祥村、农丰村、秦家坝村、新屋咀村、兴盛村、银朝村、国有林场</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3.97</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1.75</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2.23</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1.73</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柏杨村、普照村、三溪村、天堂村、渔塘村、中咀村、二郎井社区、玉龙村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2.68</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1.46</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0.15</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1.31</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0.65</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11.55</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6.54</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4.91</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0.92</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3.99</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续（6）表6.2-1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888"/>
        <w:gridCol w:w="1240"/>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841"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275"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茅坝村、云丰村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0.13</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永定村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坳丘村、白合村、陈家河村、罗汉坝村、国有林场、中峰街社区</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大江村、共和村、华通村、金鱼村、柿子村、板桥村、宝藏社区、天台寺村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稻子村、翻身村、冯石村、桂花村、龙井村、天台寺村、旺龙山村、长潮村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方碑村、蒋坝村、骑龙村、伏龙村、楼方咀村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2.32</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10.99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8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大坪子村、大山村、伏龙村、林桥村、神仙桥社区、青桥村、沙河村、石坝村、石龙井村、双石村、王坪村、太平社区、王湾村、五里村、新石村、永利村、渔湾村、玉溪村、张枣村、照南山村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7.02</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排楼村、朱巷村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74" w:type="pct"/>
            <w:gridSpan w:val="2"/>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总计</w:t>
            </w:r>
          </w:p>
        </w:tc>
        <w:tc>
          <w:tcPr>
            <w:tcW w:w="139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43.95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表6.2-2  2023—2032年泸县提质改造高标准农田分年度建设任务表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527"/>
        <w:gridCol w:w="5429"/>
        <w:gridCol w:w="1789"/>
        <w:gridCol w:w="1488"/>
        <w:gridCol w:w="1527"/>
        <w:gridCol w:w="10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9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117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永久基本农田现状</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提质改造高标准农田</w:t>
            </w:r>
          </w:p>
        </w:tc>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9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大同村、复兴村、葛林湾村、护松村、罗桥村、双河口村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1.95</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1.78</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古桥村、雷坝村、雷达村、齐心村、谭坝村、新桥村、兴隆村、鸦峰岩村、周堰村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陈田村、董湾村、庆丰村、屈湾村、石牌坊村、宋田村、新联村、薛湾村、增湾村、邹寺村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2.76</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11.49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7.02</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6.74</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黄金村、龙华村、龙桥社区、马溪河村、水竹林村、小马滩村、玉蟾村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李子村、茂盛村、清华村、团仓村、万宝村、小冲子村、鱼目村、赵岩村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2.14</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少华村、狮子村、石燕村、团山堡村、复兴村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1.69</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接龙村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潮河村、伏鱼村、天才村、五谷寺村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曹湾村、龙凤村、田坝村、一心村、垣山村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10.14</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6.99</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坳田村、八甲村、红旗村、建设村、接龙村、寿尊村、天全村、王坝村、新加村、新林村、营山村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陈湾村、红合村、尖山村、流滩坝村、龙塘村、小白村、徐场村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续（1） 表6.2-2  2023—2032年泸县提质改造高标准农田分年度建设任务表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527"/>
        <w:gridCol w:w="5429"/>
        <w:gridCol w:w="1789"/>
        <w:gridCol w:w="1488"/>
        <w:gridCol w:w="1527"/>
        <w:gridCol w:w="10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9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117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永久基本农田现状</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提质改造高标准农田</w:t>
            </w:r>
          </w:p>
        </w:tc>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9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白象村、大水坝村、得胜村、东皇殿村、高石塔村、贯顶山村、接官坝村、龙阴沟村、荞子坝村、仁和村、上顶山村、顺民村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东皇殿村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0.56</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0.18</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大水河村、伏耳村、高家咀村、葛藤湾村、龙河村、茅坝村、杨高村、朱梅滩村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永定村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宝丰村、大江村、共和村、红木村、华通村、金鱼村、柿子村、渔庆村、玉田村、长林村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4.37</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金龙寺村、老油房村、通山村、涂场村、涂丰村、新屋村、玄丰村、易湾村、龙滩子村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先锋村、英雄村、云丰村、龙滩子村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陈家河村、罗汉坝村、下林村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翻身村、桂花村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4.98</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斑竹林村、板桥村、桂花村、卫和村、长潮村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1.64</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普照村、水鸭池村、下湾村、渔塘村、玉龙村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1.45</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东岳村、军大丘村、楼方咀村、骑龙村、朱巷村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7.24</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续（2） 表6.2-2  2023—2032年泸县提质改造高标准农田分年度建设任务表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527"/>
        <w:gridCol w:w="5594"/>
        <w:gridCol w:w="1625"/>
        <w:gridCol w:w="1488"/>
        <w:gridCol w:w="1527"/>
        <w:gridCol w:w="10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200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1117"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永久基本农田现状</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提质改造高标准农田</w:t>
            </w:r>
          </w:p>
        </w:tc>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007"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斑竹林村、板桥村、桂花村、卫和村、长潮村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1.64</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普照村、水鸭池村、下湾村、渔塘村、玉龙村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1.45</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东岳村、军大丘村、楼方咀村、骑龙村、朱巷村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200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7.24</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大石坪村、凤鸣村、古佛村、两河村、石龙村、型家村、燕岩村、永和村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伏龙村、青桥村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骑龙村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200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大山村、伏龙村、林桥村、沙河村、石坝村、石龙井村、双石村、王坪村、王湾村、新石村、渔湾村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2.09</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200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2.09</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938" w:type="pct"/>
            <w:gridSpan w:val="2"/>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总计</w:t>
            </w:r>
          </w:p>
        </w:tc>
        <w:tc>
          <w:tcPr>
            <w:tcW w:w="200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36.21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widowControl/>
        <w:adjustRightInd/>
        <w:spacing w:line="240" w:lineRule="auto"/>
        <w:ind w:firstLine="0" w:firstLineChars="0"/>
        <w:jc w:val="left"/>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表6.2-3  2023—2032年泸县新增高效节水灌溉分年度建设任务表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6"/>
        <w:gridCol w:w="2152"/>
        <w:gridCol w:w="7535"/>
        <w:gridCol w:w="1416"/>
        <w:gridCol w:w="14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3475"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50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新增高效节水灌溉（万亩）</w:t>
            </w:r>
          </w:p>
        </w:tc>
        <w:tc>
          <w:tcPr>
            <w:tcW w:w="50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艾大桥村、柏杨村、普照村、三溪村、天堂村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陈沱村、古桥村、雷达村、齐心村、兴隆村、赵南村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刁河村、黄坭村、黄泥滩村、平安村、石鹅沟村、太阳村、玉石村、朱和村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270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潮河村、伏鱼村、桂凤村、红兴村、天堂坝村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宝丰村、红木村、石城村、阳高村、渔庆村、玉田村、长林村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海罗村、劳动村、龙凤村、中心村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高楼湾村、莲花村、毛楼村、沙子坪村、雄峰村、中峰村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0.46</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红兴村、龙江村、唐寺村、王坪村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大石坪村、凤鸣村、古佛村、两河村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大王山村、吉祥村、新屋咀村、兴盛村、银朝村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冯石村、龙井村、天台寺村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大坪子村、大山村、石龙井村、王坪村、张枣村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5.66</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sectPr>
          <w:pgSz w:w="16838" w:h="11905" w:orient="landscape"/>
          <w:pgMar w:top="1588" w:right="1418" w:bottom="1418" w:left="1701" w:header="851" w:footer="850" w:gutter="0"/>
          <w:cols w:space="0" w:num="1"/>
          <w:docGrid w:type="lines" w:linePitch="319" w:charSpace="390"/>
        </w:sectPr>
      </w:pPr>
    </w:p>
    <w:p>
      <w:pPr>
        <w:pStyle w:val="4"/>
        <w:ind w:firstLine="564"/>
        <w:rPr>
          <w:rFonts w:hint="default" w:ascii="Times New Roman" w:hAnsi="Times New Roman" w:cs="Times New Roman"/>
          <w:color w:val="auto"/>
          <w:highlight w:val="none"/>
        </w:rPr>
      </w:pPr>
      <w:bookmarkStart w:id="67" w:name="_Toc150285159"/>
      <w:r>
        <w:rPr>
          <w:rFonts w:hint="default" w:ascii="Times New Roman" w:hAnsi="Times New Roman" w:cs="Times New Roman"/>
          <w:color w:val="auto"/>
          <w:highlight w:val="none"/>
        </w:rPr>
        <w:t>二、主要建设内容</w:t>
      </w:r>
      <w:bookmarkEnd w:id="67"/>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（一）建设区域选择</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1.新建高标准农田</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新建项目原则上在符合立项条件的永久基本农田区域内实施，建设区域应相对集中，土壤适合农作物生长，无潜在地质灾害，项目区外有相对完善、能直接为建设区提供保障的基础设施。</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重点针对项目区农业生产发展中存在的主要障碍因素，坚持“突出重点”、“缺啥补啥”、“综合开发”的原则，科学合理地设计高标准农田建设内容，实行田、土、水、路、林、电、技、管综合配套。</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2.改造提升高标准农田</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改造提升项目在2011—2018年已建高标准农田清查为不达标或基本达标区域实施。改造提升重点区域包括：①永久基本农田划定范围内已建的、用于粮食生产的高标准农田为重点改造区域，主要包括2011—2018年已建高标准农田经清查评估判定为“需要改造提升”或“基本符合”，有粮油增产潜力的区域；②因洪涝、地震等自然灾害严重损毁，影响粮油生产的区域；③整体工程使用年限超过15年，主要用于粮油生产的区域。</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按照“缺什么、补什么”的原则开展有针对性的改造提升，重点实施“四改四提”工程，分别为改造土地田型，提升耕地平整度；改造灌排设施，提升旱涝保收能力；改造田间道路，提升生产便捷度；改造土壤结构，提升耕地质量等级。</w:t>
      </w:r>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（二）工程建设规模</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1．田（地）块整治工程</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规划田（地）块调整385865.24亩，重点工程措施包括田（地）型调整（含田（地）坎砌筑、耕层地力保持等工程）。</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2．土壤改良及培肥工程</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通过就地取材</w:t>
      </w:r>
      <w:r>
        <w:rPr>
          <w:rFonts w:hint="eastAsia" w:cs="Times New Roman"/>
          <w:bCs/>
          <w:color w:val="auto"/>
          <w:highlight w:val="none"/>
          <w:lang w:eastAsia="zh-CN"/>
        </w:rPr>
        <w:t>秸秆</w:t>
      </w:r>
      <w:r>
        <w:rPr>
          <w:rFonts w:hint="default" w:ascii="Times New Roman" w:hAnsi="Times New Roman" w:cs="Times New Roman"/>
          <w:bCs/>
          <w:color w:val="auto"/>
          <w:highlight w:val="none"/>
        </w:rPr>
        <w:t>堆腐还田，施用有机肥等高品质肥料，有效改善土壤理化性状，提高土壤有机质含量。</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规划地力培肥801600亩。有机质原料用禽畜粪便、农作物秸秆、食用菌渣、作物秸秆、泥炭或草炭，用于地力培肥、粮经（水稻）作物生产。</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3．灌溉和排水工程</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规划整治山坪塘1209座，新建小型集雨设施297口，规划新建、整治提灌站310座，规划新建、整治渠道（含渠系建筑物）722.94km；规划高效节水灌溉面积56600亩。</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山坪塘整治内容主要是对坝体及塘底清淤、坝体护坡、整治溢洪道和放水设施以及设置安全防护设施。</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提灌站主要包括泵房及管道等，其中：泵房布置要求：①满足机电设备布置、安装、运行和检修的要求；②满足泵房内通风、散热和采光要求，并符合防火、防潮、防噪声等技术要求；③内外交通方便；④布置紧凑合理，整齐美观。输配水管道要求：①管线尽量垂直于等高线；②尽可能的减少转弯，以减少水头损失；③地基要坚实，要避开地质不良地段；④尽量布置在最低压力线以下，以免产生水柱中断现象，使管道失稳而破坏。</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渠道布置要求：①对已成沟渠基本维持原沟渠布置，渠道的走向大致不变，做到小弯裁直，大弯圆滑顺直，多挖少填；②对新开挖的渠道，在渠线选择上避开高挖方与建筑物，少占粮田，尽量满足灌溉和排湿、排涝的要求；③渠道纵比降的确定以实测渠道断面为依据，尽量维持原各干、支渠进水口、分水口高程，保证各干、支渠取水。④渠道衬砌工程依据砌筑材料不同选择不同的糙率。⑤渠道断面必须依据渠道比降、边坡、衬砌材料等因素，同时考虑设计水深满足田间自流灌溉要求，通过水力计算，并综合考虑排洪、排湿及渠道现状确定。</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高效节水灌溉规划采用低压管道灌溉，低压管道管灌灌区灌溉水利用系数不应低于0.80，微灌灌区不应低于0.85。布置原则：用PE引水管取水至高位点，然后自流，通过给水栓接软管浇灌的形式进行灌溉。管道系统由干管、分干管、支管三级管道组成，干管、分干管、支管均采用热熔PE管，埋设在地下；灌溉系统布置干管尽量垂直等高线布设，支管平行等高线布设，根据地形地貌及管理情况设置给水栓间距。</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4．田间道路工程</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规划整治机耕道788.37km；生产便道665.04km。</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机耕道设计速度不应大于15km/h，平曲线半径不应小于20m，特殊困难地块不应小于10m。路基应充分利用原路基，新修道路路段必须按技术规范充分压实，保证路基强度，行车道均设在有足够强度的路基上，路基宽度应符合路面宽度要求，田间干道路基宽度≥4.5 m，田间支路路基宽度≥3.5 m；路面(行车道)宽因地制宜，田间干道采用有效路面3.5 m宽；路两边培土路肩各宽0.3 m；路床平整后，12 t压路机碾压压实；路基全幅分层填筑；路面结合实际可采用泥结石、碎石路面，与村民生活密切、坡度较大、连续弯道的山路或易受暴雨冲刷的区域可采用混凝土路面。泥结石、碎石路面面层厚度不应小于10cm，混凝土路面面层厚度不应小于18cm。道路坡道的最大纵坡应＜9%，合成纵坡应＜11%。</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生产路主要便于农户田间生产，路面宽度不应大于3m，路面采用素土、泥结石、碎石路面，在暴雨集中区可采用石板、混凝土路面。混凝土路面厚度不应小于12cm，泥结石、碎石路面不应小于8cm，纵坡不应大于18%。</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5．农田生态环境保护、</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农业废弃物资源化利用及回收站254个，采用砖砌。</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6．农田输配电</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重点结合规划区提灌站布设，规划10kv以下的高压线路61.4km；低压输电线路60.60km；变压器310座；配电箱（屏）310个。</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7．科技措施</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长期耕地质量监测点27个；一次性耕地质量监测点279个；实用技术推广8100人次。</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2023—2032年分年度建设内容具体见表6.3。</w:t>
      </w:r>
    </w:p>
    <w:p>
      <w:pPr>
        <w:pStyle w:val="2"/>
        <w:spacing w:after="0" w:line="560" w:lineRule="exact"/>
        <w:ind w:firstLine="604"/>
        <w:jc w:val="center"/>
        <w:rPr>
          <w:rFonts w:hint="default" w:ascii="Times New Roman" w:hAnsi="Times New Roman" w:cs="Times New Roman"/>
          <w:bCs/>
          <w:color w:val="auto"/>
          <w:highlight w:val="none"/>
        </w:rPr>
        <w:sectPr>
          <w:pgSz w:w="11905" w:h="16838"/>
          <w:pgMar w:top="2154" w:right="1418" w:bottom="2041" w:left="1531" w:header="851" w:footer="850" w:gutter="0"/>
          <w:cols w:space="0" w:num="1"/>
          <w:docGrid w:type="linesAndChars" w:linePitch="319" w:charSpace="39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表6.3   2023—2032年分年度主要建设内容汇总表</w:t>
      </w:r>
    </w:p>
    <w:tbl>
      <w:tblPr>
        <w:tblStyle w:val="44"/>
        <w:tblW w:w="5000" w:type="pct"/>
        <w:tblInd w:w="0" w:type="dxa"/>
        <w:tblLayout w:type="autofit"/>
        <w:tblCellMar>
          <w:top w:w="0" w:type="dxa"/>
          <w:left w:w="108" w:type="dxa"/>
          <w:bottom w:w="0" w:type="dxa"/>
          <w:right w:w="108" w:type="dxa"/>
        </w:tblCellMar>
      </w:tblPr>
      <w:tblGrid>
        <w:gridCol w:w="1950"/>
        <w:gridCol w:w="895"/>
        <w:gridCol w:w="1145"/>
        <w:gridCol w:w="1037"/>
        <w:gridCol w:w="1145"/>
        <w:gridCol w:w="1145"/>
        <w:gridCol w:w="945"/>
        <w:gridCol w:w="945"/>
        <w:gridCol w:w="945"/>
        <w:gridCol w:w="945"/>
        <w:gridCol w:w="945"/>
        <w:gridCol w:w="945"/>
        <w:gridCol w:w="948"/>
      </w:tblGrid>
      <w:tr>
        <w:tblPrEx>
          <w:tblCellMar>
            <w:top w:w="0" w:type="dxa"/>
            <w:left w:w="108" w:type="dxa"/>
            <w:bottom w:w="0" w:type="dxa"/>
            <w:right w:w="108" w:type="dxa"/>
          </w:tblCellMar>
        </w:tblPrEx>
        <w:trPr>
          <w:trHeight w:val="285" w:hRule="atLeast"/>
        </w:trPr>
        <w:tc>
          <w:tcPr>
            <w:tcW w:w="70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4300" w:type="pct"/>
            <w:gridSpan w:val="1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工程量估算</w:t>
            </w:r>
          </w:p>
        </w:tc>
      </w:tr>
      <w:tr>
        <w:tblPrEx>
          <w:tblCellMar>
            <w:top w:w="0" w:type="dxa"/>
            <w:left w:w="108" w:type="dxa"/>
            <w:bottom w:w="0" w:type="dxa"/>
            <w:right w:w="108" w:type="dxa"/>
          </w:tblCellMar>
        </w:tblPrEx>
        <w:trPr>
          <w:trHeight w:val="638" w:hRule="atLeast"/>
        </w:trPr>
        <w:tc>
          <w:tcPr>
            <w:tcW w:w="70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单位</w:t>
            </w:r>
          </w:p>
        </w:tc>
        <w:tc>
          <w:tcPr>
            <w:tcW w:w="41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工程量汇总</w:t>
            </w:r>
          </w:p>
        </w:tc>
        <w:tc>
          <w:tcPr>
            <w:tcW w:w="372"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2023年度</w:t>
            </w:r>
          </w:p>
        </w:tc>
        <w:tc>
          <w:tcPr>
            <w:tcW w:w="41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2024年度</w:t>
            </w:r>
          </w:p>
        </w:tc>
        <w:tc>
          <w:tcPr>
            <w:tcW w:w="41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2031年度</w:t>
            </w:r>
          </w:p>
        </w:tc>
        <w:tc>
          <w:tcPr>
            <w:tcW w:w="34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2032年度</w:t>
            </w:r>
          </w:p>
        </w:tc>
      </w:tr>
      <w:tr>
        <w:tblPrEx>
          <w:tblCellMar>
            <w:top w:w="0" w:type="dxa"/>
            <w:left w:w="108" w:type="dxa"/>
            <w:bottom w:w="0" w:type="dxa"/>
            <w:right w:w="108" w:type="dxa"/>
          </w:tblCellMar>
        </w:tblPrEx>
        <w:trPr>
          <w:trHeight w:val="638" w:hRule="atLeast"/>
        </w:trPr>
        <w:tc>
          <w:tcPr>
            <w:tcW w:w="70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72"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4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（一）土地平整</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385865.24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24120.24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60050.00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56700.00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42960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37968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40176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41136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34560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29430</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18765</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1.田块调型</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385865.24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24120.24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60050.00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56700.00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42960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37968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40176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41136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34560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29430</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18765</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（二）土壤改良</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801600.00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51000.00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120100.00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113400.00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89500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79100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83700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85700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72000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65400</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41700</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1.地力提升</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801600.00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51000.00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120100.00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113400.00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89500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79100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83700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85700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72000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65400</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41700</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（三）灌溉和排水</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1.整治山坪塘</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1209.00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79.00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149.00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172.00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2.小型集雨设施</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口</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297.00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22.00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41.00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37.00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3.提灌站</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310.00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4.渠道</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722.94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11.53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86.43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91.16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69.57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73.16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82.75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80.74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92.46</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52.44</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4.高效节水灌溉</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56600.00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7300.00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6300.00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7400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6300</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5000</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（四）田间道路</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1.机耕路</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788.37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53.47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92.10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97.80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2.生产便道</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665.04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27.04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97.00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71</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（五）农田生态环境保护</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CellMar>
            <w:top w:w="0" w:type="dxa"/>
            <w:left w:w="108" w:type="dxa"/>
            <w:bottom w:w="0" w:type="dxa"/>
            <w:right w:w="108" w:type="dxa"/>
          </w:tblCellMar>
        </w:tblPrEx>
        <w:trPr>
          <w:trHeight w:val="450"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1.农业废弃物资源化利用及回收站</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254.00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br w:type="page"/>
      </w:r>
    </w:p>
    <w:p>
      <w:pPr>
        <w:pStyle w:val="2"/>
        <w:spacing w:after="0" w:line="560" w:lineRule="exact"/>
        <w:ind w:firstLine="600"/>
        <w:jc w:val="center"/>
        <w:rPr>
          <w:rFonts w:hint="default" w:ascii="Times New Roman" w:hAnsi="Times New Roman" w:cs="Times New Roman"/>
          <w:bCs/>
          <w:color w:val="auto"/>
          <w:highlight w:val="none"/>
        </w:r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续表6.3   2023—2032年分年度主要建设内容汇总表</w:t>
      </w:r>
    </w:p>
    <w:tbl>
      <w:tblPr>
        <w:tblStyle w:val="44"/>
        <w:tblW w:w="5000" w:type="pct"/>
        <w:tblInd w:w="0" w:type="dxa"/>
        <w:tblLayout w:type="autofit"/>
        <w:tblCellMar>
          <w:top w:w="0" w:type="dxa"/>
          <w:left w:w="108" w:type="dxa"/>
          <w:bottom w:w="0" w:type="dxa"/>
          <w:right w:w="108" w:type="dxa"/>
        </w:tblCellMar>
      </w:tblPr>
      <w:tblGrid>
        <w:gridCol w:w="1950"/>
        <w:gridCol w:w="895"/>
        <w:gridCol w:w="1145"/>
        <w:gridCol w:w="1037"/>
        <w:gridCol w:w="1145"/>
        <w:gridCol w:w="1145"/>
        <w:gridCol w:w="945"/>
        <w:gridCol w:w="945"/>
        <w:gridCol w:w="945"/>
        <w:gridCol w:w="945"/>
        <w:gridCol w:w="945"/>
        <w:gridCol w:w="945"/>
        <w:gridCol w:w="948"/>
      </w:tblGrid>
      <w:tr>
        <w:tblPrEx>
          <w:tblCellMar>
            <w:top w:w="0" w:type="dxa"/>
            <w:left w:w="108" w:type="dxa"/>
            <w:bottom w:w="0" w:type="dxa"/>
            <w:right w:w="108" w:type="dxa"/>
          </w:tblCellMar>
        </w:tblPrEx>
        <w:trPr>
          <w:trHeight w:val="285" w:hRule="atLeast"/>
        </w:trPr>
        <w:tc>
          <w:tcPr>
            <w:tcW w:w="70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4300" w:type="pct"/>
            <w:gridSpan w:val="1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工程量估算</w:t>
            </w:r>
          </w:p>
        </w:tc>
      </w:tr>
      <w:tr>
        <w:tblPrEx>
          <w:tblCellMar>
            <w:top w:w="0" w:type="dxa"/>
            <w:left w:w="108" w:type="dxa"/>
            <w:bottom w:w="0" w:type="dxa"/>
            <w:right w:w="108" w:type="dxa"/>
          </w:tblCellMar>
        </w:tblPrEx>
        <w:trPr>
          <w:trHeight w:val="638" w:hRule="atLeast"/>
        </w:trPr>
        <w:tc>
          <w:tcPr>
            <w:tcW w:w="70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单位</w:t>
            </w:r>
          </w:p>
        </w:tc>
        <w:tc>
          <w:tcPr>
            <w:tcW w:w="41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工程量汇总</w:t>
            </w:r>
          </w:p>
        </w:tc>
        <w:tc>
          <w:tcPr>
            <w:tcW w:w="372"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2023年度</w:t>
            </w:r>
          </w:p>
        </w:tc>
        <w:tc>
          <w:tcPr>
            <w:tcW w:w="41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2024年度</w:t>
            </w:r>
          </w:p>
        </w:tc>
        <w:tc>
          <w:tcPr>
            <w:tcW w:w="41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2030年度</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2031年度</w:t>
            </w:r>
          </w:p>
        </w:tc>
        <w:tc>
          <w:tcPr>
            <w:tcW w:w="34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2032年度</w:t>
            </w:r>
          </w:p>
        </w:tc>
      </w:tr>
      <w:tr>
        <w:tblPrEx>
          <w:tblCellMar>
            <w:top w:w="0" w:type="dxa"/>
            <w:left w:w="108" w:type="dxa"/>
            <w:bottom w:w="0" w:type="dxa"/>
            <w:right w:w="108" w:type="dxa"/>
          </w:tblCellMar>
        </w:tblPrEx>
        <w:trPr>
          <w:trHeight w:val="638" w:hRule="atLeast"/>
        </w:trPr>
        <w:tc>
          <w:tcPr>
            <w:tcW w:w="70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72"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41"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（六）农田输配电</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1.10kv的高压线路</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61.40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6.80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1.低压输电线路</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60.60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6.80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2.变压器</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310.00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3.配电箱（屏）</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310.00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（七）科技措施</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1.长期耕地质量监测点</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2.一次性耕地质量监测点</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279.00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r>
      <w:tr>
        <w:tblPrEx>
          <w:tblCellMar>
            <w:top w:w="0" w:type="dxa"/>
            <w:left w:w="108" w:type="dxa"/>
            <w:bottom w:w="0" w:type="dxa"/>
            <w:right w:w="108" w:type="dxa"/>
          </w:tblCellMar>
        </w:tblPrEx>
        <w:trPr>
          <w:trHeight w:val="285" w:hRule="atLeast"/>
        </w:trPr>
        <w:tc>
          <w:tcPr>
            <w:tcW w:w="700" w:type="pct"/>
            <w:tcBorders>
              <w:top w:val="nil"/>
              <w:left w:val="single" w:color="auto" w:sz="4" w:space="0"/>
              <w:bottom w:val="single" w:color="auto" w:sz="4" w:space="0"/>
              <w:right w:val="single" w:color="auto" w:sz="4" w:space="0"/>
            </w:tcBorders>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3.实用技术推广</w:t>
            </w:r>
          </w:p>
        </w:tc>
        <w:tc>
          <w:tcPr>
            <w:tcW w:w="32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人次</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7600 </w:t>
            </w:r>
          </w:p>
        </w:tc>
        <w:tc>
          <w:tcPr>
            <w:tcW w:w="372"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1000.00 </w:t>
            </w:r>
          </w:p>
        </w:tc>
        <w:tc>
          <w:tcPr>
            <w:tcW w:w="411" w:type="pct"/>
            <w:tcBorders>
              <w:top w:val="nil"/>
              <w:left w:val="nil"/>
              <w:bottom w:val="single" w:color="auto" w:sz="4" w:space="0"/>
              <w:right w:val="single" w:color="auto" w:sz="4" w:space="0"/>
            </w:tcBorders>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1000.00 </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41" w:type="pct"/>
            <w:tcBorders>
              <w:top w:val="nil"/>
              <w:left w:val="nil"/>
              <w:bottom w:val="single" w:color="auto" w:sz="4" w:space="0"/>
              <w:right w:val="single" w:color="auto" w:sz="4" w:space="0"/>
            </w:tcBorders>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r>
    </w:tbl>
    <w:p>
      <w:pPr>
        <w:pStyle w:val="2"/>
        <w:spacing w:after="0" w:line="560" w:lineRule="exact"/>
        <w:ind w:firstLine="600"/>
        <w:jc w:val="center"/>
        <w:rPr>
          <w:rFonts w:hint="default" w:ascii="Times New Roman" w:hAnsi="Times New Roman" w:cs="Times New Roman"/>
          <w:bCs/>
          <w:color w:val="auto"/>
          <w:highlight w:val="none"/>
        </w:rPr>
      </w:pPr>
    </w:p>
    <w:p>
      <w:pPr>
        <w:pStyle w:val="2"/>
        <w:spacing w:after="0" w:line="560" w:lineRule="exact"/>
        <w:ind w:firstLine="600"/>
        <w:jc w:val="center"/>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sectPr>
          <w:pgSz w:w="16838" w:h="11905" w:orient="landscape"/>
          <w:pgMar w:top="1588" w:right="1418" w:bottom="1418" w:left="1701" w:header="851" w:footer="850" w:gutter="0"/>
          <w:cols w:space="0" w:num="1"/>
          <w:docGrid w:type="lines" w:linePitch="319" w:charSpace="390"/>
        </w:sectPr>
      </w:pPr>
    </w:p>
    <w:p>
      <w:pPr>
        <w:overflowPunct w:val="0"/>
        <w:adjustRightInd/>
        <w:ind w:firstLine="604"/>
        <w:jc w:val="left"/>
        <w:outlineLvl w:val="1"/>
        <w:rPr>
          <w:rFonts w:hint="default" w:ascii="Times New Roman" w:hAnsi="Times New Roman" w:eastAsia="黑体" w:cs="Times New Roman"/>
          <w:bCs/>
          <w:color w:val="auto"/>
          <w:szCs w:val="32"/>
          <w:highlight w:val="none"/>
        </w:rPr>
      </w:pPr>
      <w:bookmarkStart w:id="68" w:name="_Toc150285160"/>
      <w:r>
        <w:rPr>
          <w:rFonts w:hint="default" w:ascii="Times New Roman" w:hAnsi="Times New Roman" w:eastAsia="黑体" w:cs="Times New Roman"/>
          <w:bCs/>
          <w:color w:val="auto"/>
          <w:szCs w:val="32"/>
          <w:highlight w:val="none"/>
        </w:rPr>
        <w:t>三、示范建设</w:t>
      </w:r>
      <w:bookmarkEnd w:id="68"/>
    </w:p>
    <w:p>
      <w:pPr>
        <w:ind w:firstLine="604"/>
        <w:rPr>
          <w:rFonts w:hint="default" w:ascii="Times New Roman" w:hAnsi="Times New Roman" w:eastAsia="楷体_GB2312" w:cs="Times New Roman"/>
          <w:bCs/>
          <w:color w:val="auto"/>
          <w:highlight w:val="none"/>
        </w:rPr>
      </w:pPr>
      <w:bookmarkStart w:id="69" w:name="_Hlk98928590"/>
      <w:bookmarkStart w:id="70" w:name="_Toc23537"/>
      <w:r>
        <w:rPr>
          <w:rFonts w:hint="default" w:ascii="Times New Roman" w:hAnsi="Times New Roman" w:eastAsia="楷体_GB2312" w:cs="Times New Roman"/>
          <w:bCs/>
          <w:color w:val="auto"/>
          <w:highlight w:val="none"/>
        </w:rPr>
        <w:t>（一）推进高标准绿色农田示范区建设</w:t>
      </w:r>
    </w:p>
    <w:p>
      <w:pPr>
        <w:ind w:firstLine="604"/>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rPr>
        <w:t>贯彻落实绿色发展理念，积极开展绿色农田建设，重点开展“三网”配套工程、生态修复工程、循环利用工程、质量提升工程，大力推广耕地质量提升技术、种养循环技术、绿色防控技术。因地制宜在年度项目实施区域开展生态田埂护坡、生态消纳池、生态沟渠等绿色工程建设，整合农村人居环境整治、农业面源污染治理、现代农业园区等项目，鼓励、引导新型经营主体投资参与建设，协同推进高标准农田绿色示范区建设，提升农田生态功能，实现高标准农田建设绿色转型，促进农业可持续发展。</w:t>
      </w:r>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（二）开展高标准农田综合体示范建设</w:t>
      </w:r>
    </w:p>
    <w:p>
      <w:pPr>
        <w:ind w:firstLine="604"/>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rPr>
        <w:t>优先选择发展有特色、有潜力、群众基础好，党委政府重点规划的建制村，以村集体经济组织为载体，引入平台公司运营，以高标准农田建设、全域土地综合整治、和美乡村建设为抓手，整合乡村振兴各类支农项目资金和村集体资产，吸引各类社会资本和金融资本，以镇为单位、村为单元实施全域统筹开发，完善生产、产业、经营、生态、服务和运行六大功能体系，实现生产生活生态“三生同步”、一二三产业“三产融合”、农业文化旅游“三位一体”发展，力争试点工作1~3年完成，1年有成效，2~3年有发展，打造一批乡村振兴“农田综合体”示范样板。</w:t>
      </w:r>
    </w:p>
    <w:bookmarkEnd w:id="69"/>
    <w:p>
      <w:pPr>
        <w:widowControl/>
        <w:adjustRightInd/>
        <w:spacing w:line="240" w:lineRule="auto"/>
        <w:ind w:firstLine="0" w:firstLineChars="0"/>
        <w:jc w:val="left"/>
        <w:textAlignment w:val="auto"/>
        <w:rPr>
          <w:rFonts w:hint="default" w:ascii="Times New Roman" w:hAnsi="Times New Roman" w:eastAsia="方正小标宋简体" w:cs="Times New Roman"/>
          <w:bCs/>
          <w:color w:val="auto"/>
          <w:kern w:val="44"/>
          <w:sz w:val="44"/>
          <w:szCs w:val="44"/>
          <w:highlight w:val="none"/>
        </w:rPr>
      </w:pPr>
      <w:r>
        <w:rPr>
          <w:rFonts w:hint="default" w:ascii="Times New Roman" w:hAnsi="Times New Roman" w:eastAsia="方正小标宋简体" w:cs="Times New Roman"/>
          <w:bCs/>
          <w:color w:val="auto"/>
          <w:sz w:val="44"/>
          <w:highlight w:val="none"/>
        </w:rPr>
        <w:br w:type="page"/>
      </w:r>
    </w:p>
    <w:p>
      <w:pPr>
        <w:pStyle w:val="3"/>
        <w:keepNext w:val="0"/>
        <w:keepLines w:val="0"/>
        <w:tabs>
          <w:tab w:val="left" w:pos="142"/>
        </w:tabs>
        <w:overflowPunct w:val="0"/>
        <w:spacing w:after="0" w:line="240" w:lineRule="auto"/>
        <w:rPr>
          <w:rFonts w:hint="default" w:ascii="Times New Roman" w:hAnsi="Times New Roman" w:cs="Times New Roman"/>
          <w:bCs/>
          <w:color w:val="auto"/>
          <w:sz w:val="44"/>
          <w:highlight w:val="none"/>
        </w:rPr>
      </w:pPr>
      <w:bookmarkStart w:id="71" w:name="_Toc150285161"/>
      <w:r>
        <w:rPr>
          <w:rFonts w:hint="default" w:ascii="Times New Roman" w:hAnsi="Times New Roman" w:cs="Times New Roman"/>
          <w:bCs/>
          <w:color w:val="auto"/>
          <w:sz w:val="44"/>
          <w:highlight w:val="none"/>
        </w:rPr>
        <w:t xml:space="preserve">第七章  </w:t>
      </w:r>
      <w:bookmarkEnd w:id="70"/>
      <w:r>
        <w:rPr>
          <w:rFonts w:hint="default" w:ascii="Times New Roman" w:hAnsi="Times New Roman" w:cs="Times New Roman"/>
          <w:bCs/>
          <w:color w:val="auto"/>
          <w:sz w:val="44"/>
          <w:highlight w:val="none"/>
        </w:rPr>
        <w:t>投资测算与资金筹措</w:t>
      </w:r>
      <w:bookmarkEnd w:id="71"/>
    </w:p>
    <w:p>
      <w:pPr>
        <w:pStyle w:val="4"/>
        <w:ind w:firstLine="564"/>
        <w:rPr>
          <w:rFonts w:hint="default" w:ascii="Times New Roman" w:hAnsi="Times New Roman" w:cs="Times New Roman"/>
          <w:color w:val="auto"/>
          <w:highlight w:val="none"/>
        </w:rPr>
      </w:pPr>
      <w:bookmarkStart w:id="72" w:name="_Toc1842"/>
      <w:bookmarkStart w:id="73" w:name="_Toc150285162"/>
      <w:r>
        <w:rPr>
          <w:rFonts w:hint="default" w:ascii="Times New Roman" w:hAnsi="Times New Roman" w:cs="Times New Roman"/>
          <w:color w:val="auto"/>
          <w:highlight w:val="none"/>
        </w:rPr>
        <w:t>一、</w:t>
      </w:r>
      <w:bookmarkEnd w:id="72"/>
      <w:r>
        <w:rPr>
          <w:rFonts w:hint="default" w:ascii="Times New Roman" w:hAnsi="Times New Roman" w:cs="Times New Roman"/>
          <w:color w:val="auto"/>
          <w:highlight w:val="none"/>
        </w:rPr>
        <w:t>投资测算</w:t>
      </w:r>
      <w:bookmarkEnd w:id="73"/>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（一）分项工程综合单价。</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按照行业规程规范，参照泸县2020~2022年已建高标准农田分项工程投资综合确定工程建设综合单价（含工程建设其他费用）。分项工程综合单价估算具体见表7.1。</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表7.1 分项工程综合单价估算表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11"/>
        <w:gridCol w:w="1871"/>
        <w:gridCol w:w="2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tblHeader/>
        </w:trPr>
        <w:tc>
          <w:tcPr>
            <w:tcW w:w="256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单位</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单位工程估算单价（万元）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（一）田（地）块整治</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1.田块调型</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（二）土壤改良</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1.地力提升</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（三）灌溉和排水</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1.整治山坪塘</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2.智能化提灌站(含设备购置及安装）</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3.渠道（含渠系建筑物）</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4.高效节水灌溉(含设备购置及安装）</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（四）田间道路</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1.机耕路（含错车道、堡坎等）</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2.生产便道</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（五）农田生态环境保护</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1.农业废弃物资源化利用及回收站</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（六）农田输配电</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1.10kv的高压线路</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1412"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17.50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1.低压输电线路</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1412"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2.变压器</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1412"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3.配电箱（屏）</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1412"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（七）科技措施</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1.长期耕地质量监测点</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2.一次性耕地质量监测点</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568" w:type="pct"/>
            <w:shd w:val="clear" w:color="auto" w:fill="auto"/>
            <w:vAlign w:val="bottom"/>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3.实用技术推广</w:t>
            </w:r>
          </w:p>
        </w:tc>
        <w:tc>
          <w:tcPr>
            <w:tcW w:w="102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人次</w:t>
            </w:r>
          </w:p>
        </w:tc>
        <w:tc>
          <w:tcPr>
            <w:tcW w:w="1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0.04 </w:t>
            </w:r>
          </w:p>
        </w:tc>
      </w:tr>
    </w:tbl>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（二）规划投资测算。</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2023—2032年全县新建高标准农田43.95万亩，改造提升高标准农田36.21万亩，新增高效节水灌溉面积5.66万亩，总投资329005.60万元。</w:t>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表7.2 规划估算投资汇总表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81"/>
        <w:gridCol w:w="1169"/>
        <w:gridCol w:w="1317"/>
        <w:gridCol w:w="1464"/>
        <w:gridCol w:w="1318"/>
        <w:gridCol w:w="14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2872" w:type="pct"/>
            <w:gridSpan w:val="4"/>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投资测算（万元）</w:t>
            </w:r>
          </w:p>
        </w:tc>
        <w:tc>
          <w:tcPr>
            <w:tcW w:w="775"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占总投资</w:t>
            </w:r>
          </w:p>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的比例（%）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71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2023—2025年</w:t>
            </w:r>
          </w:p>
        </w:tc>
        <w:tc>
          <w:tcPr>
            <w:tcW w:w="79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2026—2030年</w:t>
            </w:r>
          </w:p>
        </w:tc>
        <w:tc>
          <w:tcPr>
            <w:tcW w:w="71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2031—2032年</w:t>
            </w:r>
          </w:p>
        </w:tc>
        <w:tc>
          <w:tcPr>
            <w:tcW w:w="775"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（一）田块整治</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139174.97</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50976.77</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70848.00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17350.20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1.田块调型</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139174.97</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50976.77</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70848.00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17350.20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（二）土壤改良</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12073.69</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4317.19</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6150.00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1606.50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1.地力提升</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12073.69</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4317.19</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6150.00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1606.50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（三）灌溉和排水</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96125.36</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27837.36</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50445.00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17843.00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1.整治山坪塘</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18075.84</w:t>
            </w:r>
          </w:p>
        </w:tc>
        <w:tc>
          <w:tcPr>
            <w:tcW w:w="718"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5940.84</w:t>
            </w:r>
          </w:p>
        </w:tc>
        <w:tc>
          <w:tcPr>
            <w:tcW w:w="798"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8625.00</w:t>
            </w:r>
          </w:p>
        </w:tc>
        <w:tc>
          <w:tcPr>
            <w:tcW w:w="719" w:type="pct"/>
            <w:shd w:val="clear" w:color="auto" w:fill="auto"/>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3510.00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2.小型集雨设施</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1772.80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590.80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918.00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264.00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3.提灌站</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24165.60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6245.60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15760.00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2160.00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4.渠道</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36149.41</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9458.41</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19446.00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7245.00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4.高效节水灌溉</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15961.71</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5601.71</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7196.00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3164.00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（四）田间道路</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74880.59</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22430.59</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39050.00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13400.00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1.机耕路</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57987.88</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17112.88</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30375.00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10500.00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2.生产便道</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16892.71</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5317.71</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8675.00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2900.00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（五）农田生态环境保护</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2032.00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360.00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392.00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1.农业废弃物资源化利用及回收站</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2032.00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360.00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392.00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（六）农田输配电</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2712.54</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763.74</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1713.90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234.90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1.10kv的高压线路</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1109.50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325.50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689.50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94.50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1.低压输电线路</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303.00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79.00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2.变压器</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1238.04</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342.04</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788.00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3.配电箱（屏）</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62.00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39.40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（七）科技措施</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791.95</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206.95</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432.00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153.00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1.长期耕地质量监测点</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216.00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64.00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2.一次性耕地质量监测点</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271.95</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62.95</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3.实用技术推广</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304.00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80.00</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160.00</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64.00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（八）施工临时工程</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1214.50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350.25</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667.75</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196.50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1.临时工程</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1214.50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350.25</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667.75</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196.50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35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建设总投资</w:t>
            </w:r>
          </w:p>
        </w:tc>
        <w:tc>
          <w:tcPr>
            <w:tcW w:w="63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329005.60</w:t>
            </w:r>
          </w:p>
        </w:tc>
        <w:tc>
          <w:tcPr>
            <w:tcW w:w="71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107242.85</w:t>
            </w:r>
          </w:p>
        </w:tc>
        <w:tc>
          <w:tcPr>
            <w:tcW w:w="79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170586.65</w:t>
            </w:r>
          </w:p>
        </w:tc>
        <w:tc>
          <w:tcPr>
            <w:tcW w:w="71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51176.10</w:t>
            </w:r>
          </w:p>
        </w:tc>
        <w:tc>
          <w:tcPr>
            <w:tcW w:w="7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100.00</w:t>
            </w:r>
          </w:p>
        </w:tc>
      </w:tr>
    </w:tbl>
    <w:p>
      <w:pPr>
        <w:pStyle w:val="2"/>
        <w:ind w:firstLine="604"/>
        <w:rPr>
          <w:rFonts w:hint="default" w:ascii="Times New Roman" w:hAnsi="Times New Roman" w:cs="Times New Roman"/>
          <w:bCs/>
          <w:color w:val="auto"/>
          <w:highlight w:val="none"/>
        </w:r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drawing>
          <wp:anchor distT="0" distB="0" distL="114300" distR="114300" simplePos="0" relativeHeight="251662336" behindDoc="0" locked="0" layoutInCell="1" allowOverlap="1">
            <wp:simplePos x="0" y="0"/>
            <wp:positionH relativeFrom="column">
              <wp:posOffset>74930</wp:posOffset>
            </wp:positionH>
            <wp:positionV relativeFrom="paragraph">
              <wp:posOffset>89535</wp:posOffset>
            </wp:positionV>
            <wp:extent cx="5448300" cy="3535045"/>
            <wp:effectExtent l="0" t="0" r="0" b="8255"/>
            <wp:wrapSquare wrapText="bothSides"/>
            <wp:docPr id="1496794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4109"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48300" cy="3535045"/>
                    </a:xfrm>
                    <a:prstGeom prst="rect">
                      <a:avLst/>
                    </a:prstGeom>
                    <a:noFill/>
                  </pic:spPr>
                </pic:pic>
              </a:graphicData>
            </a:graphic>
          </wp:anchor>
        </w:drawing>
      </w:r>
      <w:r>
        <w:rPr>
          <w:rFonts w:hint="default" w:ascii="Times New Roman" w:hAnsi="Times New Roman" w:cs="Times New Roman"/>
          <w:bCs/>
          <w:color w:val="auto"/>
          <w:sz w:val="28"/>
          <w:szCs w:val="28"/>
          <w:highlight w:val="none"/>
        </w:rPr>
        <w:t>图7-1 2023—2032年泸县高标准农田建设分项工程投资</w:t>
      </w:r>
    </w:p>
    <w:p>
      <w:pPr>
        <w:ind w:firstLine="604"/>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（三）分年度投资。</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本次规划总投资329005.60万元，其中：</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2023年总投资17748.0万元，其中：田（地）块整治工程8946.77万元；土壤改良工程814.69万元；灌溉与排水工程4026.86万元；田间道路工程3813.09万元；农田生态环境保护0.0万元；农田输配电128.64万元；科技措施17.95万元，施工临时工程0.00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2024年总投资44570.55万元，其中：田（地）块整治工程21618万元；土壤改良工程1801.5万元；灌溉与排水工程11566.50万元；田间道路工程8857.50万元；农田生态环境保护160万元；农田输配电295.80万元；科技措施92万元；施工临时工程179.25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2025年总投资44924.30万元，其中：田（地）块整治工程20412万元；土壤改良工程1701万元；灌溉与排水工程12244万元；田间道路工程9760万元；农田生态环境保护200万元；农田输配电339.30万元；科技措施97万元；施工临时工程171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2026年总投资36677.45万元，其中：田（地）块整治工程15465.60万元；土壤改良工程1342.50元；灌溉与排水工程10644.50万元；田间道路工程8500万元；农田生态环境保护192万元；农田输配电374.10万元；科技措施80万元；施工临时工程78.75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2027年总投资35534.28万元，其中：田（地）块整治工程13668.48万元；土壤改良工程1186.50万元；灌溉与排水工程11149.0万元；田间道路工程8650万元；农田生态环境保护288万元；农田输配电382.80万元；科技措施92万元；施工临时工程117.5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2028年总投资34690.81万元，其中：田（地）块整治工程14463.36万元；土壤改良工程1255.50万元；灌溉与排水工程10652.50万元；田间道路工程7500万元；农田生态环境保护248万元；农田输配电313.20万元；科技措施87万元；施工临时工程171.25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2029年总投资33430.71万元，其中：田（地）块整治工程14808.96万元；土壤改良工程1285.50万元；灌溉与排水工程9708.00万元；田间道路工程6825万元；农田生态环境保护280万元；农田输配电7304.50万元；科技措施91万元；施工临时工程127.75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2030年总投资31753.40万元，其中：田（地）块整治工程12441.60万元；土壤改良工程1080万元；灌溉与排水工程9491万元；田间道路工程7575万元；农田生态环境保护272元；农田输配电339.30万元；科技措施82万元；施工临时工程172.5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2031年总投资29426.30万元，其中：田（地）块整治工程10594.80万元；土壤改良工程981万元；灌溉与排水工程9633万元；田间道路工程7700万元；农田生态环境保护224万元；农田输配电130.50万元；科技措施84万元；施工临时工程79万元。</w:t>
      </w:r>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2032年总投资20249.80万元，其中：田（地）块整治工程6755.40万元；土壤改良工程625.50万元；灌溉与排水工程6710万元；田间道路工程5700万元；农田生态环境保护168万元；农田输配电104.40万元；科技措施69万元；施工临时工程117.50万元。</w:t>
      </w:r>
    </w:p>
    <w:p>
      <w:pPr>
        <w:ind w:firstLine="604"/>
        <w:rPr>
          <w:rFonts w:hint="default" w:ascii="Times New Roman" w:hAnsi="Times New Roman" w:cs="Times New Roman"/>
          <w:bCs/>
          <w:iCs/>
          <w:color w:val="auto"/>
          <w:highlight w:val="none"/>
        </w:rPr>
      </w:pPr>
      <w:r>
        <w:rPr>
          <w:rFonts w:hint="default" w:ascii="Times New Roman" w:hAnsi="Times New Roman" w:cs="Times New Roman"/>
          <w:bCs/>
          <w:color w:val="auto"/>
          <w:highlight w:val="none"/>
        </w:rPr>
        <w:t>2023—2032年分年度投资具体见表7.3。</w:t>
      </w:r>
    </w:p>
    <w:p>
      <w:pPr>
        <w:pStyle w:val="2"/>
        <w:ind w:firstLine="604"/>
        <w:jc w:val="center"/>
        <w:rPr>
          <w:rFonts w:hint="default" w:ascii="Times New Roman" w:hAnsi="Times New Roman" w:cs="Times New Roman"/>
          <w:bCs/>
          <w:color w:val="auto"/>
          <w:highlight w:val="none"/>
        </w:rPr>
        <w:sectPr>
          <w:pgSz w:w="11905" w:h="16838"/>
          <w:pgMar w:top="2154" w:right="1418" w:bottom="2041" w:left="1531" w:header="851" w:footer="1247" w:gutter="0"/>
          <w:cols w:space="0" w:num="1"/>
          <w:docGrid w:type="linesAndChars" w:linePitch="319" w:charSpace="39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表7.3 分年度投资表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72"/>
        <w:gridCol w:w="1126"/>
        <w:gridCol w:w="1126"/>
        <w:gridCol w:w="1126"/>
        <w:gridCol w:w="1126"/>
        <w:gridCol w:w="1126"/>
        <w:gridCol w:w="1184"/>
        <w:gridCol w:w="1184"/>
        <w:gridCol w:w="1184"/>
        <w:gridCol w:w="1184"/>
        <w:gridCol w:w="11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4149" w:type="pct"/>
            <w:gridSpan w:val="10"/>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分年度投资估算（万元）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2031年度</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（一）土地平整</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8946.77</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21618.00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20412.00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15465.60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13668.48</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14463.36</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14808.96</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12441.60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10594.80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6755.40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1.田块调型</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8946.77</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21618.00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20412.00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15465.60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13668.48</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14463.36</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14808.96</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12441.60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10594.80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6755.40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（二）土壤改良</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814.69</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1801.50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1701.00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1342.50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1186.50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1255.50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1285.50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981.00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625.50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1.地力提升</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814.69</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1801.50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1701.00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1342.50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1186.50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1255.50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1285.50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981.00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625.50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（三）灌溉和排水</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4026.86</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11566.50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12244.00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10644.50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11149.00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10652.50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9708.00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9791.00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9633.00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1.整治山坪塘</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1125.84</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2235.00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2580.00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1695.00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1845.00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1590.00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1890.00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2.小型集雨设施</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122.80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246.00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156.00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3.提灌站</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405.60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2720.00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3120.00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3440.00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3520.00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2880.00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3120.00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1200.00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960.00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4.渠道</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578.91</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4321.50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4558.00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3478.50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3658.00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4137.50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4037.00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4135.00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4623.00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2622.00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4.高效节水灌溉</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1793.71</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1764.00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1764.00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1736.00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840.00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1764.00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（四）田间道路</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3813.09</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8857.50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9760.00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8500.00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8650.00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7500.00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6825.00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7575.00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7700.00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5700.00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1.机耕路</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2870.38</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6907.50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7335.00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6600.00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6975.00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5775.00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5025.00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6000.00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5925.00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4575.00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2.生产便道</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942.71</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1950.00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2425.00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1900.00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1575.00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1775.00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（五）农田生态环境保护</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288.00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248.00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224.00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1.农业废弃物资源化利用及回收站</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288.00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248.00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224.00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168.00</w:t>
            </w:r>
          </w:p>
        </w:tc>
      </w:tr>
    </w:tbl>
    <w:p>
      <w:pPr>
        <w:pStyle w:val="2"/>
        <w:ind w:firstLine="600"/>
        <w:jc w:val="center"/>
        <w:rPr>
          <w:rFonts w:hint="default" w:ascii="Times New Roman" w:hAnsi="Times New Roman" w:cs="Times New Roman"/>
          <w:bCs/>
          <w:color w:val="auto"/>
          <w:highlight w:val="none"/>
        </w:rPr>
      </w:pPr>
    </w:p>
    <w:p>
      <w:pPr>
        <w:pStyle w:val="2"/>
        <w:ind w:firstLine="600"/>
        <w:jc w:val="center"/>
        <w:rPr>
          <w:rFonts w:hint="default" w:ascii="Times New Roman" w:hAnsi="Times New Roman" w:cs="Times New Roman"/>
          <w:bCs/>
          <w:color w:val="auto"/>
          <w:highlight w:val="none"/>
        </w:r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续表7.3  分年度投资表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72"/>
        <w:gridCol w:w="1126"/>
        <w:gridCol w:w="1126"/>
        <w:gridCol w:w="1126"/>
        <w:gridCol w:w="1126"/>
        <w:gridCol w:w="1126"/>
        <w:gridCol w:w="1184"/>
        <w:gridCol w:w="1184"/>
        <w:gridCol w:w="1184"/>
        <w:gridCol w:w="1184"/>
        <w:gridCol w:w="11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4149" w:type="pct"/>
            <w:gridSpan w:val="10"/>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分年度投资估算（万元）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2026年度</w:t>
            </w:r>
          </w:p>
        </w:tc>
        <w:tc>
          <w:tcPr>
            <w:tcW w:w="40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2030年度</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2031年度</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（六）农田输配电</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128.64</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295.80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339.30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374.10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382.80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313.20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304.50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339.30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130.50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104.40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1.10kv的高压线路</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119.00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150.50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52.50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1.低压输电线路</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2.变压器</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50.04</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156.00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140.00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3.配电箱（屏）</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（七）科技措施</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17.95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97.00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87.00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91.00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84.00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1.长期耕地质量监测点</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2.一次性耕地质量监测点</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17.95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3.实用技术推广</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（八）施工临时工程</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179.25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78.75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171.25</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127.75</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1.临时工程</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179.25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78.75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171.25</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127.75</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172.50</w:t>
            </w:r>
          </w:p>
        </w:tc>
        <w:tc>
          <w:tcPr>
            <w:tcW w:w="42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79.00</w:t>
            </w:r>
          </w:p>
        </w:tc>
        <w:tc>
          <w:tcPr>
            <w:tcW w:w="42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规划总投投资</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17748.00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44570.55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44924.30</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36677.45</w:t>
            </w:r>
          </w:p>
        </w:tc>
        <w:tc>
          <w:tcPr>
            <w:tcW w:w="4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35534.28</w:t>
            </w:r>
          </w:p>
        </w:tc>
        <w:tc>
          <w:tcPr>
            <w:tcW w:w="42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34690.81</w:t>
            </w:r>
          </w:p>
        </w:tc>
        <w:tc>
          <w:tcPr>
            <w:tcW w:w="42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33430.71</w:t>
            </w:r>
          </w:p>
        </w:tc>
        <w:tc>
          <w:tcPr>
            <w:tcW w:w="42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31753.40</w:t>
            </w:r>
          </w:p>
        </w:tc>
        <w:tc>
          <w:tcPr>
            <w:tcW w:w="42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29426.30</w:t>
            </w:r>
          </w:p>
        </w:tc>
        <w:tc>
          <w:tcPr>
            <w:tcW w:w="42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20249.80</w:t>
            </w:r>
          </w:p>
        </w:tc>
      </w:tr>
    </w:tbl>
    <w:p>
      <w:pPr>
        <w:pStyle w:val="2"/>
        <w:ind w:firstLine="600"/>
        <w:jc w:val="center"/>
        <w:rPr>
          <w:rFonts w:hint="default" w:ascii="Times New Roman" w:hAnsi="Times New Roman" w:cs="Times New Roman"/>
          <w:bCs/>
          <w:color w:val="auto"/>
          <w:highlight w:val="none"/>
        </w:rPr>
      </w:pPr>
    </w:p>
    <w:p>
      <w:pPr>
        <w:pStyle w:val="2"/>
        <w:ind w:firstLine="600"/>
        <w:jc w:val="center"/>
        <w:rPr>
          <w:rFonts w:hint="default" w:ascii="Times New Roman" w:hAnsi="Times New Roman" w:cs="Times New Roman"/>
          <w:bCs/>
          <w:color w:val="auto"/>
          <w:highlight w:val="none"/>
        </w:rPr>
      </w:pPr>
    </w:p>
    <w:p>
      <w:pPr>
        <w:pStyle w:val="2"/>
        <w:ind w:firstLine="600"/>
        <w:jc w:val="center"/>
        <w:rPr>
          <w:rFonts w:hint="default" w:ascii="Times New Roman" w:hAnsi="Times New Roman" w:cs="Times New Roman"/>
          <w:bCs/>
          <w:color w:val="auto"/>
          <w:highlight w:val="none"/>
        </w:rPr>
        <w:sectPr>
          <w:pgSz w:w="16838" w:h="11905" w:orient="landscape"/>
          <w:pgMar w:top="1588" w:right="1418" w:bottom="1418" w:left="1701" w:header="851" w:footer="1247" w:gutter="0"/>
          <w:cols w:space="0" w:num="1"/>
          <w:docGrid w:type="lines" w:linePitch="319" w:charSpace="390"/>
        </w:sectPr>
      </w:pPr>
    </w:p>
    <w:p>
      <w:pPr>
        <w:pStyle w:val="2"/>
        <w:ind w:firstLine="604"/>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4913630" cy="2759075"/>
            <wp:effectExtent l="0" t="0" r="1270" b="3175"/>
            <wp:docPr id="17865272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27201"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19015" cy="2762276"/>
                    </a:xfrm>
                    <a:prstGeom prst="rect">
                      <a:avLst/>
                    </a:prstGeom>
                    <a:noFill/>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图7-2 分年度投资图（单位：万元）</w:t>
      </w:r>
    </w:p>
    <w:p>
      <w:pPr>
        <w:pStyle w:val="4"/>
        <w:ind w:firstLine="564"/>
        <w:rPr>
          <w:rFonts w:hint="default" w:ascii="Times New Roman" w:hAnsi="Times New Roman" w:cs="Times New Roman"/>
          <w:color w:val="auto"/>
          <w:highlight w:val="none"/>
        </w:rPr>
      </w:pPr>
      <w:bookmarkStart w:id="74" w:name="_Toc150285163"/>
      <w:r>
        <w:rPr>
          <w:rFonts w:hint="default" w:ascii="Times New Roman" w:hAnsi="Times New Roman" w:cs="Times New Roman"/>
          <w:color w:val="auto"/>
          <w:highlight w:val="none"/>
        </w:rPr>
        <w:t>二、资金筹措</w:t>
      </w:r>
      <w:bookmarkEnd w:id="74"/>
    </w:p>
    <w:p>
      <w:pPr>
        <w:ind w:firstLine="604"/>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泸县2023—2032年高标准农田建设项目建设估算总投资329005.60万元，其来源构成为：中央、省级补助资金120240万元，县级自筹（含地方债券资金、社会资金）208765.60万元。资金筹措后，高标准农田建设亩均投资不低于4000元，其中新建高标准农田亩均投资不低于5000元，提质改造高标准农田亩均投资不低于3000元（实际亩均投资以年度实际投资为准）。</w:t>
      </w:r>
    </w:p>
    <w:p>
      <w:pPr>
        <w:pStyle w:val="2"/>
        <w:ind w:firstLine="604"/>
        <w:rPr>
          <w:rFonts w:hint="default" w:ascii="Times New Roman" w:hAnsi="Times New Roman" w:cs="Times New Roman"/>
          <w:bCs/>
          <w:color w:val="auto"/>
          <w:highlight w:val="none"/>
        </w:rPr>
      </w:pPr>
    </w:p>
    <w:p>
      <w:pPr>
        <w:snapToGrid w:val="0"/>
        <w:ind w:firstLine="604"/>
        <w:rPr>
          <w:rFonts w:hint="default" w:ascii="Times New Roman" w:hAnsi="Times New Roman" w:cs="Times New Roman"/>
          <w:bCs/>
          <w:color w:val="auto"/>
          <w:szCs w:val="30"/>
          <w:highlight w:val="none"/>
        </w:rPr>
        <w:sectPr>
          <w:pgSz w:w="11905" w:h="16838"/>
          <w:pgMar w:top="1418" w:right="1418" w:bottom="1701" w:left="1588" w:header="851" w:footer="1247" w:gutter="0"/>
          <w:cols w:space="0" w:num="1"/>
          <w:docGrid w:type="linesAndChars" w:linePitch="319" w:charSpace="390"/>
        </w:sectPr>
      </w:pPr>
    </w:p>
    <w:p>
      <w:pPr>
        <w:pStyle w:val="3"/>
        <w:keepNext w:val="0"/>
        <w:keepLines w:val="0"/>
        <w:tabs>
          <w:tab w:val="left" w:pos="142"/>
        </w:tabs>
        <w:overflowPunct w:val="0"/>
        <w:spacing w:after="0" w:line="360" w:lineRule="auto"/>
        <w:rPr>
          <w:rFonts w:hint="default" w:ascii="Times New Roman" w:hAnsi="Times New Roman" w:cs="Times New Roman"/>
          <w:bCs/>
          <w:color w:val="auto"/>
          <w:sz w:val="44"/>
          <w:highlight w:val="none"/>
        </w:rPr>
      </w:pPr>
      <w:bookmarkStart w:id="75" w:name="_Toc15445"/>
      <w:bookmarkStart w:id="76" w:name="_Toc150285164"/>
      <w:r>
        <w:rPr>
          <w:rFonts w:hint="default" w:ascii="Times New Roman" w:hAnsi="Times New Roman" w:cs="Times New Roman"/>
          <w:bCs/>
          <w:color w:val="auto"/>
          <w:sz w:val="44"/>
          <w:highlight w:val="none"/>
        </w:rPr>
        <w:t>第八章  建设管理</w:t>
      </w:r>
      <w:bookmarkEnd w:id="75"/>
      <w:r>
        <w:rPr>
          <w:rFonts w:hint="default" w:ascii="Times New Roman" w:hAnsi="Times New Roman" w:cs="Times New Roman"/>
          <w:bCs/>
          <w:color w:val="auto"/>
          <w:sz w:val="44"/>
          <w:highlight w:val="none"/>
        </w:rPr>
        <w:t>与管护利用</w:t>
      </w:r>
      <w:bookmarkEnd w:id="76"/>
    </w:p>
    <w:p>
      <w:pPr>
        <w:pStyle w:val="4"/>
        <w:ind w:firstLine="560"/>
        <w:rPr>
          <w:rFonts w:hint="default" w:ascii="Times New Roman" w:hAnsi="Times New Roman" w:cs="Times New Roman"/>
          <w:color w:val="auto"/>
          <w:highlight w:val="none"/>
        </w:rPr>
      </w:pPr>
      <w:bookmarkStart w:id="77" w:name="_Toc150285165"/>
      <w:bookmarkStart w:id="78" w:name="_Toc21854"/>
      <w:bookmarkStart w:id="79" w:name="_Toc335897953"/>
      <w:r>
        <w:rPr>
          <w:rFonts w:hint="default" w:ascii="Times New Roman" w:hAnsi="Times New Roman" w:cs="Times New Roman"/>
          <w:color w:val="auto"/>
          <w:highlight w:val="none"/>
        </w:rPr>
        <w:t>一、规范建设程序</w:t>
      </w:r>
      <w:bookmarkEnd w:id="77"/>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高标准农田建设实行项目法人责任制、招标投标制、建设监理制、合同管理制以及公示制等制度。规范开展项目前期准备、规划设计、申报审批、招标投标、工程施工和监理、竣工验收、移交管护、上图入库、考核评价等工作。严把设计审批关，确保方案的科学、合理和可行。全面推行招投标制，优选设计、施工和监理单位。规范签订施工合同，细化质量要求，加强技术培训，严格施工管理。强化质量监管，落实质量管理终身责任制，确保工程建设质量。严把工程竣工验收关，对发现问题必须整改到位后方能通过验收。</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（一）建立健全组织机构。</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1．成立领导小组</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为强化项目组织领导，泸县人民政府拟成立“</w:t>
      </w:r>
      <w:bookmarkStart w:id="80" w:name="OLE_LINK154"/>
      <w:bookmarkStart w:id="81" w:name="OLE_LINK153"/>
      <w:r>
        <w:rPr>
          <w:rFonts w:hint="default" w:ascii="Times New Roman" w:hAnsi="Times New Roman" w:cs="Times New Roman"/>
          <w:bCs/>
          <w:color w:val="auto"/>
          <w:highlight w:val="none"/>
        </w:rPr>
        <w:t>泸县高标准农田建设领导小组</w:t>
      </w:r>
      <w:bookmarkEnd w:id="80"/>
      <w:bookmarkEnd w:id="81"/>
      <w:r>
        <w:rPr>
          <w:rFonts w:hint="default" w:ascii="Times New Roman" w:hAnsi="Times New Roman" w:cs="Times New Roman"/>
          <w:bCs/>
          <w:color w:val="auto"/>
          <w:highlight w:val="none"/>
        </w:rPr>
        <w:t>”，以县长为组长，县委、县政府分管领导为副组长，县农业农村局、发改局、财政局、自然资源和规划局、水务局等主要负责人为成员，负责全县高标准农田建设的组织和领导。</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建设在“泸县高标准农田建设领导小组”统一领导下进行，由县农业农村局牵头组织项目实施，相关股站人员组成项目推进组，负责项目立项、规划选址、实施方案编制、上报审批、施工准备、建设实施、开展初步验收、绩效评价、上图入库、对外宣传等工作。县发改局、财政局、自然资源和规划局、水务局按各自职责参与协调、配合支持。</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镇也要成立相应机构，明确专人，具体负责辖区统筹协调、安全稳定、质量监督等，包括格田平整区土地集中收回及完成后分户下划，青苗占地、管线搬迁、群众协调，稳定维稳，组建镇、村、组及部分群众参与质量监督小组等。</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2．成立专家技术组</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w:t>
      </w:r>
      <w:bookmarkStart w:id="82" w:name="_Hlk150866694"/>
      <w:r>
        <w:rPr>
          <w:rFonts w:hint="default" w:ascii="Times New Roman" w:hAnsi="Times New Roman" w:cs="Times New Roman"/>
          <w:bCs/>
          <w:color w:val="auto"/>
          <w:highlight w:val="none"/>
        </w:rPr>
        <w:t>四川省农田建设项目管理办法实施细则</w:t>
      </w:r>
      <w:bookmarkEnd w:id="82"/>
      <w:r>
        <w:rPr>
          <w:rFonts w:hint="default" w:ascii="Times New Roman" w:hAnsi="Times New Roman" w:cs="Times New Roman"/>
          <w:bCs/>
          <w:color w:val="auto"/>
          <w:highlight w:val="none"/>
        </w:rPr>
        <w:t>》（川农函〔2019〕909号）的要求组织实施。为确保四川省泸县高标准农田建设项目按时、保质、保量完成，成立泸县高标准农田建设项目专家技术组，加强对泸县高标准农田建设项目的技术指导工作。具体职责为： 协助勘测设计单位编制好项目建设内容及相应实施方案；协助勘测设计单位搞好项目勘测、设计、制图和工程估算等项目前期工作；制定和执行施工技术规程及质量要求标准；协作相关部门，按相关要求搞好工程建设招投标工作；按“分级负责”的原则指导项目工程施工，确保各项目指标、任务按计划要求完成；负责项目相关技术资料的收集、整理、归档等。</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3．项目所在镇、村成立项目实施领导小组</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所在镇成立以镇（街道）主要领导任组长，分管农业副镇长任副组长，农技、水利、农机、林业、财政等有关部门负责人为成员的项目实施领导小组，领导小组下设办公室，由主管农业副镇长兼任办公室主任并负责日常工作。</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在泸县高标准农田建设工作领导小组的指导下，实施泸县高标准农田建设项目工作，项目所在镇党、政干部实行包村包组，各村有2~3名驻村干部联系，加强组织动员，确保项目区群众自筹资金的及时到位，各项工作取得实效。项目村主任或村支书负责组织农户投劳、资金筹集、妥善处理青苗、占地、树木、安全等问题。</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（二）实行项目法人责任制。</w:t>
      </w:r>
      <w:r>
        <w:rPr>
          <w:rFonts w:hint="default" w:ascii="Times New Roman" w:hAnsi="Times New Roman" w:cs="Times New Roman"/>
          <w:bCs/>
          <w:color w:val="auto"/>
          <w:highlight w:val="none"/>
        </w:rPr>
        <w:t>项目法人对工程建设的全过程管理负责，保证按照项目建设需要组织完成项目建设，对项目建设的工程质量、工程进度、资金管理和生产安全负总责，并接受上级主管部门和行业主管部门监督。</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（三）实行工程招投标制。</w:t>
      </w:r>
      <w:r>
        <w:rPr>
          <w:rFonts w:hint="default" w:ascii="Times New Roman" w:hAnsi="Times New Roman" w:cs="Times New Roman"/>
          <w:bCs/>
          <w:color w:val="auto"/>
          <w:highlight w:val="none"/>
        </w:rPr>
        <w:t>实行项目工程招投标制。按照《招投标法》的规定，本着“公开、公平、公正”的原则，田（地）块整治工程、灌溉与排水工程、田间道路工程施工和监理实行招投标，委托社会中介机构对项目工程建设进行全程监理，提高工程管理的透明度，使项目管理更加科学化，有效降低工程建设成本，确保工程建设标准和质量，打造阳光工程。对大宗物资实行政府采购，确定可靠的供应商，使农民得到更大的实惠，提高财政资金的使用效益。</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（四）实行工程监理制。</w:t>
      </w:r>
      <w:r>
        <w:rPr>
          <w:rFonts w:hint="default" w:ascii="Times New Roman" w:hAnsi="Times New Roman" w:cs="Times New Roman"/>
          <w:bCs/>
          <w:color w:val="auto"/>
          <w:highlight w:val="none"/>
        </w:rPr>
        <w:t>通过公开招投标，选择有资质的监理单位，对工程进行全面质量监督检查，严格执行工程监理规章、制度。</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（五）实行项目合同制。</w:t>
      </w:r>
      <w:r>
        <w:rPr>
          <w:rFonts w:hint="default" w:ascii="Times New Roman" w:hAnsi="Times New Roman" w:cs="Times New Roman"/>
          <w:bCs/>
          <w:color w:val="auto"/>
          <w:highlight w:val="none"/>
        </w:rPr>
        <w:t>项目实行合同制，经批准的建设项目，经招投标确定的承包单位（含监理单位），全部实行合同制，工程建设的工期、质量目标、工程价款的结算及奖惩措施、拨款的方式、纠纷的处理都要依据合同来执行。</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（六）实行项目公告制。</w:t>
      </w:r>
      <w:r>
        <w:rPr>
          <w:rFonts w:hint="default" w:ascii="Times New Roman" w:hAnsi="Times New Roman" w:cs="Times New Roman"/>
          <w:bCs/>
          <w:color w:val="auto"/>
          <w:highlight w:val="none"/>
        </w:rPr>
        <w:t>高标准农田项目实行公告制，并设立公告栏，告知群众本项目的有关情况，如：项目建设背景、项目建设目的、项目规划任务、项目建设期限、工程总体布局、规划方案的效益分析等等，取得群众的理解和支持，并积极参加到工程中来。</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（七）实行项目审计制。</w:t>
      </w:r>
      <w:r>
        <w:rPr>
          <w:rFonts w:hint="default" w:ascii="Times New Roman" w:hAnsi="Times New Roman" w:cs="Times New Roman"/>
          <w:bCs/>
          <w:color w:val="auto"/>
          <w:highlight w:val="none"/>
        </w:rPr>
        <w:t>项目实行审计制，建审计小组，审计小组按工程进度监督项目资金使用情况，对工程项目实行阶段与年终跟踪审计，规范资金正常使用，确保项目资金按国家规定做到专款专用，项目工程保质保量按期完成。</w:t>
      </w:r>
    </w:p>
    <w:p>
      <w:pPr>
        <w:ind w:firstLine="600"/>
        <w:rPr>
          <w:rFonts w:hint="default" w:ascii="Times New Roman" w:hAnsi="Times New Roman" w:eastAsia="楷体_GB2312" w:cs="Times New Roman"/>
          <w:bCs/>
          <w:color w:val="auto"/>
          <w:highlight w:val="none"/>
        </w:rPr>
      </w:pPr>
      <w:r>
        <w:rPr>
          <w:rFonts w:hint="default" w:ascii="Times New Roman" w:hAnsi="Times New Roman" w:eastAsia="楷体_GB2312" w:cs="Times New Roman"/>
          <w:bCs/>
          <w:color w:val="auto"/>
          <w:highlight w:val="none"/>
        </w:rPr>
        <w:t>（八）依法合规使用管理资金</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严格执行四川省财政厅四川省农业农村厅《关于印发〈耕地建设与利用资金管理办法实施细则〉的通知》（川财农〔2023〕95号规定，加强内部控制，依法合规使用管理耕地建设与利用资金，自觉依法接受审计监督和财政监督，防范和化解财政风险。</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一是可以通过耕地建设与利用资金，采取直接补助、以奖代补、贷款贴息、政府购买服务、资产折股量化、以工代赈等方式，支持和引导个人以及农业生产经营组织等承担相关任务或筹资投劳参与相关项目建设。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二是耕地建设与利用资金实行全过程预算绩效管理。财政、农业农村部门要加强绩效目标管理，按要求开展绩效运行监控和自评，及时上报绩效自评结果，加强绩效评价结果运用。按照“高标准农田原则上全部用于粮食生产”的要求，将高标准农田用于粮食生产情况作为耕地建设与利用资金高标准农田建设支出方向的重要绩效目标</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三是县级农业农村部门应当组织核实耕地建设与利用资金支出内容，督促检查耕地建设与利用任务完成情况，为财政部门按规定分配、审核拨付资金提供依据。对存在下列情形的项目，地方农业农村部门不得申请耕地建设与利用资金:一是不符合法律、行政法规等有关规定；二是政策已到期；三是已从中央基建投资等其他渠道获得性质类同的中央财政资金支持。</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四是耕地建设与利用资金使用管理应当全面落实预算公开有关要求，严格落实信息公开制度，县级财政资金分配结果一律公开，镇（街道）、村资金安排使用情况一律公示公告，主动接受群众和社会监督。财政、农业农村等部门要对公开公示工作进行指导，畅通群众信息反馈途径，及时处理群众举报问题。</w:t>
      </w:r>
    </w:p>
    <w:p>
      <w:pPr>
        <w:pStyle w:val="4"/>
        <w:ind w:firstLine="560"/>
        <w:rPr>
          <w:rFonts w:hint="default" w:ascii="Times New Roman" w:hAnsi="Times New Roman" w:cs="Times New Roman"/>
          <w:color w:val="auto"/>
          <w:highlight w:val="none"/>
        </w:rPr>
      </w:pPr>
      <w:bookmarkStart w:id="83" w:name="_Toc150285166"/>
      <w:r>
        <w:rPr>
          <w:rFonts w:hint="default" w:ascii="Times New Roman" w:hAnsi="Times New Roman" w:cs="Times New Roman"/>
          <w:color w:val="auto"/>
          <w:highlight w:val="none"/>
        </w:rPr>
        <w:t>二、强化质量管理</w:t>
      </w:r>
      <w:bookmarkEnd w:id="83"/>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（一）严控建设质量。</w:t>
      </w:r>
      <w:r>
        <w:rPr>
          <w:rFonts w:hint="default" w:ascii="Times New Roman" w:hAnsi="Times New Roman" w:cs="Times New Roman"/>
          <w:bCs/>
          <w:color w:val="auto"/>
          <w:highlight w:val="none"/>
        </w:rPr>
        <w:t>做细做实项目前期工作，科学规划工程布局，合理确定建设内容。严格执行建设标准和技术规范施工，落实质量管理终身责任制，积极建立政府质量监督、监理巡回监理、群众跟踪监督和社会公示“四位一体”的监督机制，严把原材料、中间产品、设施设备质量关，确保工程建设质量。</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（二）提升耕地质量。</w:t>
      </w:r>
      <w:r>
        <w:rPr>
          <w:rFonts w:hint="default" w:ascii="Times New Roman" w:hAnsi="Times New Roman" w:cs="Times New Roman"/>
          <w:bCs/>
          <w:color w:val="auto"/>
          <w:highlight w:val="none"/>
        </w:rPr>
        <w:t>依托布设的高标准农田耕地质量长期定位监测点，委托相关专业机构，按照《耕地质量等级》和《四川省耕地质量等级评价技术规范》要求，跟踪监测项目区建设前和建成后土壤立地条件、剖面性状、耕层理化性质、养分状况和土壤管理等技术参数，评价耕地质量等级变化情况，评定结果纳入区域性耕地质量变更调查与等级评价。针对区域性土壤酸化、季节性干旱、水土养分流失等突出问题，因地制宜开展科技攻关和试验示范，破解耕地质量建设难题。通过增施有机肥、秸秆还田等措施，促进耕地质量稳步提升。</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（三）加强社会监督。</w:t>
      </w:r>
      <w:r>
        <w:rPr>
          <w:rFonts w:hint="default" w:ascii="Times New Roman" w:hAnsi="Times New Roman" w:cs="Times New Roman"/>
          <w:bCs/>
          <w:color w:val="auto"/>
          <w:highlight w:val="none"/>
        </w:rPr>
        <w:t>充分尊重农民意愿，维护农民权益，引导农民广泛参与，发挥社会舆论监督作用。推行项目信息公示制度，强化事前公示，在项目区设立公示牌，将高标准农田建设规模、建设内容、建设投资和建设单位等主体信息进行公示，让建设区域内各方全面了解项目建设情况，保障群众的知情权、参与权、表达权和监督权。</w:t>
      </w:r>
    </w:p>
    <w:p>
      <w:pPr>
        <w:pStyle w:val="4"/>
        <w:ind w:firstLine="560"/>
        <w:rPr>
          <w:rFonts w:hint="default" w:ascii="Times New Roman" w:hAnsi="Times New Roman" w:cs="Times New Roman"/>
          <w:color w:val="auto"/>
          <w:highlight w:val="none"/>
        </w:rPr>
      </w:pPr>
      <w:bookmarkStart w:id="84" w:name="_Toc150285167"/>
      <w:r>
        <w:rPr>
          <w:rFonts w:hint="default" w:ascii="Times New Roman" w:hAnsi="Times New Roman" w:cs="Times New Roman"/>
          <w:color w:val="auto"/>
          <w:highlight w:val="none"/>
        </w:rPr>
        <w:t>三、规范竣工验收</w:t>
      </w:r>
      <w:bookmarkEnd w:id="84"/>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（一）明确项目验收程序。</w:t>
      </w:r>
      <w:r>
        <w:rPr>
          <w:rFonts w:hint="default" w:ascii="Times New Roman" w:hAnsi="Times New Roman" w:cs="Times New Roman"/>
          <w:bCs/>
          <w:color w:val="auto"/>
          <w:highlight w:val="none"/>
        </w:rPr>
        <w:t>按照“谁审批、谁验收、谁负责”原则，根据高标准农田建设项目验收管理办法，验收按照阶段性验收、县级初步验收、市级竣工验收的先后顺序组织开展，完成验收结果逐级上报，竣工验收结果报农业农村厅备案。阶段性验收由项目建设单位组织，对隐蔽工程、单项工程的工程量和工程质量进行逐项验收。县级初步验收由县农业农村部门牵头组织。市级竣工验收由泸州市农业农村部门牵头组织，也可委托第三方机构开展。对竣工验收合格的项目，核发农业农村部统一格式的竣工验收合格证书。</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（二）做好工程资产移交。</w:t>
      </w:r>
      <w:r>
        <w:rPr>
          <w:rFonts w:hint="default" w:ascii="Times New Roman" w:hAnsi="Times New Roman" w:cs="Times New Roman"/>
          <w:bCs/>
          <w:color w:val="auto"/>
          <w:highlight w:val="none"/>
        </w:rPr>
        <w:t>工程竣工验收后，及时办理交付利用手续，做好登记造册，明确工程的所有权和使用权、地理位置、覆盖面积、工程明细等内容。需要变更权属的，及时办理变更登记，确保建成后的高标准农田产权清晰。</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（三）及时规范档案资料。</w:t>
      </w:r>
      <w:r>
        <w:rPr>
          <w:rFonts w:hint="default" w:ascii="Times New Roman" w:hAnsi="Times New Roman" w:cs="Times New Roman"/>
          <w:bCs/>
          <w:color w:val="auto"/>
          <w:highlight w:val="none"/>
        </w:rPr>
        <w:t>及时做好项目建设前、建设中、竣工验收后形成的文字影像与图表资料、管理资料、项目财务管理资料等收集、整理、组卷和存档工作，实现档案资料管理的数字化和信息化。</w:t>
      </w:r>
    </w:p>
    <w:p>
      <w:pPr>
        <w:pStyle w:val="4"/>
        <w:ind w:firstLine="560"/>
        <w:rPr>
          <w:rFonts w:hint="default" w:ascii="Times New Roman" w:hAnsi="Times New Roman" w:cs="Times New Roman"/>
          <w:color w:val="auto"/>
          <w:highlight w:val="none"/>
        </w:rPr>
      </w:pPr>
      <w:bookmarkStart w:id="85" w:name="_Toc150285168"/>
      <w:r>
        <w:rPr>
          <w:rFonts w:hint="default" w:ascii="Times New Roman" w:hAnsi="Times New Roman" w:cs="Times New Roman"/>
          <w:color w:val="auto"/>
          <w:highlight w:val="none"/>
        </w:rPr>
        <w:t>四、统一上图入库</w:t>
      </w:r>
      <w:bookmarkEnd w:id="85"/>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以最新土地利用现状图为底图，有效衔接已建高标准农田建设的上图入库成果，将新建高标准农田项目申报、竣工、验收等各阶段信息及时上图入库，形成全县高标准农田建设“一张图”。依据现行技术标准，统一数据结构、文件格式、命名规则、汇交接口等数据要求，确保入库信息完整、上图地块精准，实现“底数清、位置准、情况明”。严格新建高标准农田上图入库审查，坚决防止新建高标准农田与已成高标准农田地块重叠，杜绝在非耕地上开展高标准农田建设，确保完成国家下达的规划目标任务。</w:t>
      </w:r>
    </w:p>
    <w:p>
      <w:pPr>
        <w:pStyle w:val="4"/>
        <w:ind w:firstLine="560"/>
        <w:rPr>
          <w:rFonts w:hint="default" w:ascii="Times New Roman" w:hAnsi="Times New Roman" w:cs="Times New Roman"/>
          <w:color w:val="auto"/>
          <w:highlight w:val="none"/>
        </w:rPr>
      </w:pPr>
      <w:bookmarkStart w:id="86" w:name="_Toc150285169"/>
      <w:r>
        <w:rPr>
          <w:rFonts w:hint="default" w:ascii="Times New Roman" w:hAnsi="Times New Roman" w:cs="Times New Roman"/>
          <w:color w:val="auto"/>
          <w:highlight w:val="none"/>
        </w:rPr>
        <w:t>五、强化建后管护</w:t>
      </w:r>
      <w:bookmarkEnd w:id="86"/>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（一）明确管护责任。</w:t>
      </w:r>
      <w:r>
        <w:rPr>
          <w:rFonts w:hint="default" w:ascii="Times New Roman" w:hAnsi="Times New Roman" w:cs="Times New Roman"/>
          <w:bCs/>
          <w:color w:val="auto"/>
          <w:highlight w:val="none"/>
        </w:rPr>
        <w:t>按照“县负总责、镇（街道）监管、村为主体”的原则，项目初验合格后，要建立工程设施总量和分类工程明细台账，明确管护主体，落实管护责任，细化落实管护内容和管护要求，强化督促指导，确保建成的高标准农田工程有人用、有人管。发挥村集体经济组织、承包经营者在工程管护中的主体作用，落实受益对象管护投入责任，引导和激励专业大户、家庭农场、农民合作社等新型农业经营主体参与农田设施的日常维护。相关基层服务组织要加强对管护主体和管护人员的定期技术指导、服务和监管。</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（二）健全管护机制。</w:t>
      </w:r>
      <w:r>
        <w:rPr>
          <w:rFonts w:hint="default" w:ascii="Times New Roman" w:hAnsi="Times New Roman" w:cs="Times New Roman"/>
          <w:bCs/>
          <w:color w:val="auto"/>
          <w:highlight w:val="none"/>
        </w:rPr>
        <w:t>结合农村集体产权制度改革，按照权责明确、运行有效的原则，积极探索“田长制”、项目建管一体化新机制，项目建设前开展同步设计和落实管护制度，建立健全日常管护和专项维护相结合的管护机制。按照“谁使用、谁受益、谁管护”的原则，探索社会化和专业化相结合的管护模式，鼓励有条件的地方通过政府购买服务方式，调动村集体经济组织、受益农户、新型农业经营主体和专业化管护机构、社会化服务组织等落实管护积极性，确保建成的工程设施正常运行。</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（三）落实管护经费。</w:t>
      </w:r>
      <w:r>
        <w:rPr>
          <w:rFonts w:hint="default" w:ascii="Times New Roman" w:hAnsi="Times New Roman" w:cs="Times New Roman"/>
          <w:bCs/>
          <w:color w:val="auto"/>
          <w:highlight w:val="none"/>
        </w:rPr>
        <w:t>建立高标准农田建设项目多元化管护经费合理保障机制，制订管护经费标准,对管护资金全面实施预算绩效管理。县级财政应根据实际需要对高标准农田工程设施管护经费予以补助。探索“财政补一点、水费收一点、群众筹一点”的多元化筹集管护经费机制。探索通过新增耕地指标交易收益、村组集体经济收益、灌溉用水收费（不含干渠水管单位应收缴水费）等多渠道筹措建后管护资金。完善鼓励社会资本积极参与高标准农田管护的政策措施,保障管护主体合理收益。鼓励开展高标准农田工程设施灾毁保险。</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（四）推进农业水价综合改革。统筹推进农业水价形成机制、农田水利工程建设和管护机制、精准补贴和节水奖励机制、终端用水管理机制建立，促进农业节水和农田水利工程的良性运行。</w:t>
      </w:r>
    </w:p>
    <w:bookmarkEnd w:id="78"/>
    <w:bookmarkEnd w:id="79"/>
    <w:p>
      <w:pPr>
        <w:pStyle w:val="4"/>
        <w:ind w:firstLine="560"/>
        <w:rPr>
          <w:rFonts w:hint="default" w:ascii="Times New Roman" w:hAnsi="Times New Roman" w:cs="Times New Roman"/>
          <w:color w:val="auto"/>
          <w:highlight w:val="none"/>
        </w:rPr>
      </w:pPr>
      <w:bookmarkStart w:id="87" w:name="_Toc150285170"/>
      <w:r>
        <w:rPr>
          <w:rFonts w:hint="default" w:ascii="Times New Roman" w:hAnsi="Times New Roman" w:cs="Times New Roman"/>
          <w:color w:val="auto"/>
          <w:highlight w:val="none"/>
        </w:rPr>
        <w:t>六、严格保护利用</w:t>
      </w:r>
      <w:bookmarkEnd w:id="87"/>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（一）强化用途管控。</w:t>
      </w:r>
      <w:r>
        <w:rPr>
          <w:rFonts w:hint="default" w:ascii="Times New Roman" w:hAnsi="Times New Roman" w:cs="Times New Roman"/>
          <w:bCs/>
          <w:color w:val="auto"/>
          <w:highlight w:val="none"/>
        </w:rPr>
        <w:t>对已建成的高标准农田，应当根据泸县国土空间总体规划（2021-2035年）纳入永久基本农田，实行特殊保护，坚决遏制耕地“非农化”、严格管控耕地“非粮化”，任何单位和个人不得损毁、擅自占用或者改变用途。严格耕地占用审批，经依法批准占用高标准农田的，要及时补充、上图入库，确保高标准农田数量不减少、质量不降低。</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（二）加强农田保护。</w:t>
      </w:r>
      <w:r>
        <w:rPr>
          <w:rFonts w:hint="default" w:ascii="Times New Roman" w:hAnsi="Times New Roman" w:cs="Times New Roman"/>
          <w:bCs/>
          <w:color w:val="auto"/>
          <w:highlight w:val="none"/>
        </w:rPr>
        <w:t>推行合理耕作制度，实行用地养地有机结合，确保耕地可持续利用。对自然损毁的高标准农田，要纳入年度建设任务，及时进行修复或者补充建设。严禁将不达标的污水排入农田，严禁将生活垃圾、工业废弃物等污染物倾倒、排放、存放到农田。</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（三）确保良田粮用。</w:t>
      </w:r>
      <w:r>
        <w:rPr>
          <w:rFonts w:hint="default" w:ascii="Times New Roman" w:hAnsi="Times New Roman" w:cs="Times New Roman"/>
          <w:bCs/>
          <w:color w:val="auto"/>
          <w:highlight w:val="none"/>
        </w:rPr>
        <w:t>高标准农田集中用于重要农产品特别是粮食生产。粮食生产功能区至少生产一季粮食，种植非粮作物的要在一季后能够恢复粮食生产。在条件成熟的稻田区，以稳粮增收、以渔促稻为目标，鼓励采取稻鱼综合种养、稻菜轮作等模式，着力提升种粮效益、稳定粮食产量、保障粮食安全，实现“良田”产粮、产业兴旺、农民增收、业主获利等多方共赢。推广“粮经”“粮经饲”等绿色生态循环发展模式，大力开展间混套作，利用田边、地角、坡坎和零星土地发展田坎玉米、大豆，千方百计增加粮食总产量，确保粮食安全与农民增收致富两不误。</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（四）加强水资源管理。</w:t>
      </w:r>
      <w:r>
        <w:rPr>
          <w:rFonts w:hint="default" w:ascii="Times New Roman" w:hAnsi="Times New Roman" w:cs="Times New Roman"/>
          <w:bCs/>
          <w:color w:val="auto"/>
          <w:highlight w:val="none"/>
        </w:rPr>
        <w:t>落实最严格水资源管理制度，强化考核结果运用。建立完善覆盖流域和行政区域的取用水总量控制指标，严格控制流域和区域取用水总量。严格执行取水许可制度，建立水资源承载能力监测预警机制。加强取水口取水量在线监测，提升水资源监管能力和信息化管理水平。加强水资源统一调度管理，保障河湖生态流量。</w:t>
      </w:r>
    </w:p>
    <w:p>
      <w:pPr>
        <w:ind w:firstLine="600"/>
        <w:rPr>
          <w:rFonts w:hint="default" w:ascii="Times New Roman" w:hAnsi="Times New Roman" w:cs="Times New Roman"/>
          <w:bCs/>
          <w:color w:val="auto"/>
          <w:highlight w:val="none"/>
        </w:rPr>
        <w:sectPr>
          <w:pgSz w:w="11905" w:h="16838"/>
          <w:pgMar w:top="2154" w:right="1417" w:bottom="2041" w:left="1531" w:header="851" w:footer="992" w:gutter="0"/>
          <w:cols w:space="425" w:num="1"/>
          <w:docGrid w:type="lines" w:linePitch="312" w:charSpace="0"/>
        </w:sectPr>
      </w:pPr>
    </w:p>
    <w:p>
      <w:pPr>
        <w:pStyle w:val="3"/>
        <w:keepNext w:val="0"/>
        <w:keepLines w:val="0"/>
        <w:tabs>
          <w:tab w:val="left" w:pos="142"/>
        </w:tabs>
        <w:overflowPunct w:val="0"/>
        <w:spacing w:after="0" w:line="240" w:lineRule="auto"/>
        <w:rPr>
          <w:rFonts w:hint="default" w:ascii="Times New Roman" w:hAnsi="Times New Roman" w:cs="Times New Roman"/>
          <w:bCs/>
          <w:color w:val="auto"/>
          <w:sz w:val="44"/>
          <w:highlight w:val="none"/>
        </w:rPr>
      </w:pPr>
      <w:bookmarkStart w:id="88" w:name="_Toc150285171"/>
      <w:r>
        <w:rPr>
          <w:rFonts w:hint="default" w:ascii="Times New Roman" w:hAnsi="Times New Roman" w:cs="Times New Roman"/>
          <w:bCs/>
          <w:color w:val="auto"/>
          <w:sz w:val="44"/>
          <w:highlight w:val="none"/>
        </w:rPr>
        <w:t>第九章  效益分析</w:t>
      </w:r>
      <w:bookmarkEnd w:id="88"/>
    </w:p>
    <w:p>
      <w:pPr>
        <w:pStyle w:val="4"/>
        <w:ind w:firstLine="560"/>
        <w:rPr>
          <w:rFonts w:hint="default" w:ascii="Times New Roman" w:hAnsi="Times New Roman" w:cs="Times New Roman"/>
          <w:color w:val="auto"/>
          <w:highlight w:val="none"/>
        </w:rPr>
      </w:pPr>
      <w:bookmarkStart w:id="89" w:name="_Toc150285172"/>
      <w:r>
        <w:rPr>
          <w:rFonts w:hint="default" w:ascii="Times New Roman" w:hAnsi="Times New Roman" w:cs="Times New Roman"/>
          <w:color w:val="auto"/>
          <w:highlight w:val="none"/>
        </w:rPr>
        <w:t>一、经济效益</w:t>
      </w:r>
      <w:bookmarkEnd w:id="89"/>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（一）增产增收。</w:t>
      </w:r>
      <w:r>
        <w:rPr>
          <w:rFonts w:hint="default" w:ascii="Times New Roman" w:hAnsi="Times New Roman" w:cs="Times New Roman"/>
          <w:bCs/>
          <w:color w:val="auto"/>
          <w:highlight w:val="none"/>
        </w:rPr>
        <w:t>根据泸县种植同种作物，在水、肥等能保证的情况下，水稻单产在470kg以上，玉米单产360kg以上，薯类单产1350kg以上，油菜单产200kg以上，蔬菜平均单产达2000kg以上。而目前项目区农作物产量由于灌溉不到保障、土地肥力较低，单产明显偏低。项目建成后，通过水利设施建设、配方施肥，保证了土地的灌溉，培肥了地力，农业综合生产能力明显增强，具有明显的增产增收效果。</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基准年农作物产量统计和设计水平年产量预测，预计项目实施后，将建成高产稳产农田80.16万亩，农业生产基础设施得到明显改善，农业综合生产能力明显增强，粮经作物产量明显提高，预计新建高标准农田亩均提高粮食综合产能100公斤左右、改造提升农田亩均提高粮食综合产能80公斤左右。</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（二）节约生产成本。</w:t>
      </w:r>
      <w:r>
        <w:rPr>
          <w:rFonts w:hint="default" w:ascii="Times New Roman" w:hAnsi="Times New Roman" w:cs="Times New Roman"/>
          <w:bCs/>
          <w:color w:val="auto"/>
          <w:highlight w:val="none"/>
        </w:rPr>
        <w:t>增加土地肥力增厚土层：通过田（地）块整治工程，可提高土壤蓄水能力，增强土壤抗旱能力，减少水、土和肥料的流失，提高肥料利用率，高标准农田建成后，耕地地力平均提高0.2个等级以上。</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降低了劳动强度：由于节水灌溉较传统灌溉机械化自动化程度提高，可降低灌水劳动强度和节约劳动时间，提高劳动率。</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减少化肥农药的使用量：通过项目建设，项目区农田水利基础设施得到大幅改善，农业措施得到加强，农业生产科技利用率得到提高，土壤地力条件得到改善，可以有效减小亩均农业生产所需的肥料等农资的投入。</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节约了水资源：通过项目建设，项目区的灌溉水利用系数将由目前的不足0.6提高到0.90，极大的节约了农业用水量。</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（三）新增耕地。</w:t>
      </w:r>
      <w:r>
        <w:rPr>
          <w:rFonts w:hint="default" w:ascii="Times New Roman" w:hAnsi="Times New Roman" w:cs="Times New Roman"/>
          <w:bCs/>
          <w:color w:val="auto"/>
          <w:highlight w:val="none"/>
        </w:rPr>
        <w:t>通过田块调型等建设，预计新增耕地4395亩，新增耕地率不低于1%，新增耕地用于发展粮油、粮菜等产业。</w:t>
      </w:r>
    </w:p>
    <w:p>
      <w:pPr>
        <w:pStyle w:val="4"/>
        <w:ind w:firstLine="560"/>
        <w:rPr>
          <w:rFonts w:hint="default" w:ascii="Times New Roman" w:hAnsi="Times New Roman" w:cs="Times New Roman"/>
          <w:color w:val="auto"/>
          <w:highlight w:val="none"/>
        </w:rPr>
      </w:pPr>
      <w:bookmarkStart w:id="90" w:name="_Toc150285173"/>
      <w:r>
        <w:rPr>
          <w:rFonts w:hint="default" w:ascii="Times New Roman" w:hAnsi="Times New Roman" w:cs="Times New Roman"/>
          <w:color w:val="auto"/>
          <w:highlight w:val="none"/>
        </w:rPr>
        <w:t>二、社会效益</w:t>
      </w:r>
      <w:bookmarkEnd w:id="90"/>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（一）增强粮食安全保障能力。</w:t>
      </w:r>
      <w:r>
        <w:rPr>
          <w:rFonts w:hint="default" w:ascii="Times New Roman" w:hAnsi="Times New Roman" w:cs="Times New Roman"/>
          <w:bCs/>
          <w:color w:val="auto"/>
          <w:highlight w:val="none"/>
        </w:rPr>
        <w:t>高标准农田建成后，能够加快补齐我县农田基础设施短板，明显提高水土资源利用效率，增强粮食生产能力和防灾抗灾减灾能力，实现“旱涝保收、宜机作业”。预计到2032年永久基本农田内高标准农田保有量91.86万亩，新增耕地面积4395亩（新增耕地率1%左右，新增水田面积约2680亩），粮食生产水平稳定在55万吨以上，切实增加粮食等主要农产品有效供给，促进经济社会可持续发展。</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（二）提高水资源综合利用率。</w:t>
      </w:r>
      <w:r>
        <w:rPr>
          <w:rFonts w:hint="default" w:ascii="Times New Roman" w:hAnsi="Times New Roman" w:cs="Times New Roman"/>
          <w:bCs/>
          <w:color w:val="auto"/>
          <w:highlight w:val="none"/>
        </w:rPr>
        <w:t>项目的建设完善了排涝灌溉水系，提高了水资源综合利用率，提高了农业生产质量和生产力水平，便于防止面源污染，保护和开发利用水资源和水土资源，促进农业产业化和农村经济的发展。</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（三）推动农业现代化发展。</w:t>
      </w:r>
      <w:r>
        <w:rPr>
          <w:rFonts w:hint="default" w:ascii="Times New Roman" w:hAnsi="Times New Roman" w:cs="Times New Roman"/>
          <w:bCs/>
          <w:color w:val="auto"/>
          <w:highlight w:val="none"/>
        </w:rPr>
        <w:t>拓宽了农业发展空间，优化了产业布局，促进农业新品种、新技术、新装备的推广与应用，推动农业经营主体、农业经营方式、生产方式、资源利用方式的转型升级。通过大力发展农业新业态、新产业、农业规模化、专业化以及标准化的生产经营模式，促进了农业生产、生活、生态三大功能深度融合，能加快质量兴农、绿色兴农、品牌强农的步伐，助力乡村振兴战略实施。</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（四）提高农民种粮积极性。</w:t>
      </w:r>
      <w:r>
        <w:rPr>
          <w:rFonts w:hint="default" w:ascii="Times New Roman" w:hAnsi="Times New Roman" w:cs="Times New Roman"/>
          <w:bCs/>
          <w:color w:val="auto"/>
          <w:highlight w:val="none"/>
        </w:rPr>
        <w:t>高标准农田建成后，一方面农田基础设施得以完善，农业生产条件的进一步改善为农民种粮生产提供了便利，有助于保护农民种粮积极性。另一方面，节水减肥下耕地质量不断优化，保证作物产量增加的同时，也降低了农业投入成本，种粮经济效益的提升有助于提高农民种粮积极性。</w:t>
      </w:r>
    </w:p>
    <w:p>
      <w:pPr>
        <w:pStyle w:val="4"/>
        <w:ind w:firstLine="560"/>
        <w:rPr>
          <w:rFonts w:hint="default" w:ascii="Times New Roman" w:hAnsi="Times New Roman" w:cs="Times New Roman"/>
          <w:color w:val="auto"/>
          <w:highlight w:val="none"/>
        </w:rPr>
      </w:pPr>
      <w:bookmarkStart w:id="91" w:name="_Toc150285174"/>
      <w:r>
        <w:rPr>
          <w:rFonts w:hint="default" w:ascii="Times New Roman" w:hAnsi="Times New Roman" w:cs="Times New Roman"/>
          <w:color w:val="auto"/>
          <w:highlight w:val="none"/>
        </w:rPr>
        <w:t>三、生态效益</w:t>
      </w:r>
      <w:bookmarkEnd w:id="91"/>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（一）提高水土资源利用效率。</w:t>
      </w:r>
      <w:r>
        <w:rPr>
          <w:rFonts w:hint="default" w:ascii="Times New Roman" w:hAnsi="Times New Roman" w:cs="Times New Roman"/>
          <w:bCs/>
          <w:color w:val="auto"/>
          <w:highlight w:val="none"/>
        </w:rPr>
        <w:t>通过推广渠道防渗、低压管道输水灌溉、微灌、喷灌、覆膜沟播、适水种植等综合节水措施，发展节水农业，提高农业用水效率。推广测土配方施肥，增施有机肥，有效减少农田水土流失，提高耕地集约节约利用水平。</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（二）改善农业生态环境。</w:t>
      </w:r>
      <w:r>
        <w:rPr>
          <w:rFonts w:hint="default" w:ascii="Times New Roman" w:hAnsi="Times New Roman" w:cs="Times New Roman"/>
          <w:bCs/>
          <w:color w:val="auto"/>
          <w:highlight w:val="none"/>
        </w:rPr>
        <w:t>项目区化肥用量预计将减少10%以上，在降低农业投入成本的同时，能有效减轻农业面源污染。同时，增加土壤有机质含量，改善土壤理化性状，可为良种和农业新技术、新装备的推广创造条件，推进现代农业园区种养循环和废弃物综合利用，促进资源节约和环境友好型生态农业建设。</w:t>
      </w:r>
    </w:p>
    <w:p>
      <w:pPr>
        <w:ind w:firstLine="600"/>
        <w:rPr>
          <w:rFonts w:hint="default" w:ascii="Times New Roman" w:hAnsi="Times New Roman" w:eastAsia="方正小标宋简体" w:cs="Times New Roman"/>
          <w:bCs/>
          <w:color w:val="auto"/>
          <w:kern w:val="44"/>
          <w:szCs w:val="44"/>
          <w:highlight w:val="none"/>
        </w:rPr>
      </w:pPr>
      <w:r>
        <w:rPr>
          <w:rFonts w:hint="default" w:ascii="Times New Roman" w:hAnsi="Times New Roman" w:eastAsia="楷体_GB2312" w:cs="Times New Roman"/>
          <w:bCs/>
          <w:color w:val="auto"/>
          <w:highlight w:val="none"/>
        </w:rPr>
        <w:t>（三）提升农田生态功能。</w:t>
      </w:r>
      <w:r>
        <w:rPr>
          <w:rFonts w:hint="default" w:ascii="Times New Roman" w:hAnsi="Times New Roman" w:cs="Times New Roman"/>
          <w:bCs/>
          <w:color w:val="auto"/>
          <w:highlight w:val="none"/>
        </w:rPr>
        <w:t>通过实施“五网”配套、生态修复、种养循环、质量提升和环境保护“五大工程”，因地制宜构建生态沟渠、道路、林网和塘堰湿地系统，可增强农田水土保持能力、改善小气候，在维护农田生态平衡的同时，实现农村田园景观化，为乡村生态宜居提供绿色屏障。</w:t>
      </w:r>
      <w:r>
        <w:rPr>
          <w:rFonts w:hint="default" w:ascii="Times New Roman" w:hAnsi="Times New Roman" w:eastAsia="方正小标宋简体" w:cs="Times New Roman"/>
          <w:bCs/>
          <w:color w:val="auto"/>
          <w:highlight w:val="none"/>
        </w:rPr>
        <w:br w:type="page"/>
      </w:r>
    </w:p>
    <w:p>
      <w:pPr>
        <w:pStyle w:val="3"/>
        <w:keepNext w:val="0"/>
        <w:keepLines w:val="0"/>
        <w:tabs>
          <w:tab w:val="left" w:pos="142"/>
        </w:tabs>
        <w:overflowPunct w:val="0"/>
        <w:spacing w:after="0" w:line="240" w:lineRule="auto"/>
        <w:rPr>
          <w:rFonts w:hint="default" w:ascii="Times New Roman" w:hAnsi="Times New Roman" w:cs="Times New Roman"/>
          <w:bCs/>
          <w:color w:val="auto"/>
          <w:sz w:val="44"/>
          <w:highlight w:val="none"/>
        </w:rPr>
      </w:pPr>
      <w:bookmarkStart w:id="92" w:name="_Toc150285175"/>
      <w:r>
        <w:rPr>
          <w:rFonts w:hint="default" w:ascii="Times New Roman" w:hAnsi="Times New Roman" w:cs="Times New Roman"/>
          <w:bCs/>
          <w:color w:val="auto"/>
          <w:sz w:val="44"/>
          <w:highlight w:val="none"/>
        </w:rPr>
        <w:t>第十章  保障措施</w:t>
      </w:r>
      <w:bookmarkEnd w:id="92"/>
    </w:p>
    <w:p>
      <w:pPr>
        <w:pStyle w:val="4"/>
        <w:ind w:firstLine="560"/>
        <w:rPr>
          <w:rFonts w:hint="default" w:ascii="Times New Roman" w:hAnsi="Times New Roman" w:cs="Times New Roman"/>
          <w:color w:val="auto"/>
          <w:highlight w:val="none"/>
        </w:rPr>
      </w:pPr>
      <w:bookmarkStart w:id="93" w:name="_Toc150285176"/>
      <w:r>
        <w:rPr>
          <w:rFonts w:hint="default" w:ascii="Times New Roman" w:hAnsi="Times New Roman" w:cs="Times New Roman"/>
          <w:color w:val="auto"/>
          <w:highlight w:val="none"/>
        </w:rPr>
        <w:t>一、组织保障</w:t>
      </w:r>
      <w:bookmarkEnd w:id="93"/>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（一）加强组织领导。</w:t>
      </w:r>
      <w:r>
        <w:rPr>
          <w:rFonts w:hint="default" w:ascii="Times New Roman" w:hAnsi="Times New Roman" w:cs="Times New Roman"/>
          <w:bCs/>
          <w:color w:val="auto"/>
          <w:highlight w:val="none"/>
        </w:rPr>
        <w:t>县人民政府是高标准农田建设的实施主体和责任主体，强化政府一把手负总责、分管领导直接负责的责任制，统筹抓好规划实施、任务落实、资金保障、监督评价和运营管护等工作。县农业农村部门要全面履行好农田建设集中统一管理职责，发改、财政、自然资源、水利、交通、银行等相关部门按照职责分工，密切配合，做好规划指导、资金投入、新增耕地核定、水资源利用和管理、金融支持等工作，协同推进高标准农田建设。县农业农村局要在县人民政府的领导下，县其他相关部门和镇（街道）政府要按照职责分工，主动协作配合，确保各项工作任务按期完成。加强建设资金全过程绩效管理，科学设定绩效目标，做好绩效运行监控和评价，强化结果应用，提高资金使用效益。</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（二）加强行业管理。</w:t>
      </w:r>
      <w:r>
        <w:rPr>
          <w:rFonts w:hint="default" w:ascii="Times New Roman" w:hAnsi="Times New Roman" w:cs="Times New Roman"/>
          <w:bCs/>
          <w:color w:val="auto"/>
          <w:highlight w:val="none"/>
        </w:rPr>
        <w:t>把高标准农田建设从业机构资质审查关，提高勘察、设计、施工和监理等相关单位技术力量门槛，杜绝无资质或资质不符合要求的从业机构承接相关业务。大力推行信用承诺制度，依法依规建立健全高标准农田建设从业机构失信惩戒机制，加强行业自律和动态监管。</w:t>
      </w:r>
    </w:p>
    <w:p>
      <w:pPr>
        <w:pStyle w:val="4"/>
        <w:ind w:firstLine="560"/>
        <w:rPr>
          <w:rFonts w:hint="default" w:ascii="Times New Roman" w:hAnsi="Times New Roman" w:cs="Times New Roman"/>
          <w:color w:val="auto"/>
          <w:highlight w:val="none"/>
        </w:rPr>
      </w:pPr>
      <w:bookmarkStart w:id="94" w:name="_Toc150285177"/>
      <w:bookmarkStart w:id="95" w:name="_Toc98928919"/>
      <w:r>
        <w:rPr>
          <w:rFonts w:hint="default" w:ascii="Times New Roman" w:hAnsi="Times New Roman" w:cs="Times New Roman"/>
          <w:color w:val="auto"/>
          <w:highlight w:val="none"/>
        </w:rPr>
        <w:t>二、资金保障</w:t>
      </w:r>
      <w:bookmarkEnd w:id="94"/>
      <w:bookmarkEnd w:id="95"/>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（一）加强政府投入保障。</w:t>
      </w:r>
      <w:r>
        <w:rPr>
          <w:rFonts w:hint="default" w:ascii="Times New Roman" w:hAnsi="Times New Roman" w:cs="Times New Roman"/>
          <w:bCs/>
          <w:color w:val="auto"/>
          <w:highlight w:val="none"/>
        </w:rPr>
        <w:t>建立健全高标准农田建设投入保障机制。优化支出结构，将农田建设作为重点事项，按规定及时落实县级配套资金，根据高标准农田建设任务、标准和成本变化，切实保障各项政府投入。调整完善土地出让收入使用范围，整合使用土地出让收入中用于农业农村的资金，重点支持高标准农田建设。在国家确定的投资标准基础上，进一步加大投入力度，提高投资标准。</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（二）完善多元化筹资机制。</w:t>
      </w:r>
      <w:r>
        <w:rPr>
          <w:rFonts w:hint="default" w:ascii="Times New Roman" w:hAnsi="Times New Roman" w:cs="Times New Roman"/>
          <w:bCs/>
          <w:color w:val="auto"/>
          <w:highlight w:val="none"/>
        </w:rPr>
        <w:t>发挥政府投入引导和撬动作用，完善银企合作机制，采取投资补助、以奖代补、财政贴息等多种方式，有序引导金融、社会资本和新型农业经营主体投入高标准农田建设。在债务限额内发行债券支持符合条件的高标准农田建设。发行专项债券用于农业农村的投入，要重点支持符合专项债券发行使用条件的高标准农田建设。积极探索先建后补、以奖代补、政府和社会资本合作等多元投入模式，引导项目受益对象和农村集体经济组织等筹资投劳，撬动更多的工商资本和新型农业经营主体自筹资金投向高标准农田建设。统筹整合，性质相同、用途相近的涉农资金纳入同一资金池，形成“多个渠道引水、一个龙头放水”的高标准农田建设投入新格局，形成政策合力，提升资金使用效益。</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（三）统筹整合资金。</w:t>
      </w:r>
      <w:r>
        <w:rPr>
          <w:rFonts w:hint="default" w:ascii="Times New Roman" w:hAnsi="Times New Roman" w:cs="Times New Roman"/>
          <w:bCs/>
          <w:color w:val="auto"/>
          <w:highlight w:val="none"/>
        </w:rPr>
        <w:t>健全完善涉农资金统筹整合使用机制，加大高标准农田建设投入，推进集中连片建设，集中力量办大事，确保完成规划目标任务。制定整合资金使用方案，统筹使用和有序投入各类相关资金，将任务和资金落实到地块，确保完成建设任务。</w:t>
      </w:r>
    </w:p>
    <w:p>
      <w:pPr>
        <w:pStyle w:val="4"/>
        <w:ind w:firstLine="560"/>
        <w:rPr>
          <w:rFonts w:hint="default" w:ascii="Times New Roman" w:hAnsi="Times New Roman" w:cs="Times New Roman"/>
          <w:color w:val="auto"/>
          <w:highlight w:val="none"/>
        </w:rPr>
      </w:pPr>
      <w:bookmarkStart w:id="96" w:name="_Toc98928920"/>
      <w:bookmarkStart w:id="97" w:name="_Toc150285178"/>
      <w:r>
        <w:rPr>
          <w:rFonts w:hint="default" w:ascii="Times New Roman" w:hAnsi="Times New Roman" w:cs="Times New Roman"/>
          <w:color w:val="auto"/>
          <w:highlight w:val="none"/>
        </w:rPr>
        <w:t>三、人才保障</w:t>
      </w:r>
      <w:bookmarkEnd w:id="96"/>
      <w:bookmarkEnd w:id="97"/>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加强高标准农田建设管理和技术服务体系队伍建设，强化人员配备，重点配强县、镇（街道）两级工作力量，与当地高标准农田建设任务相适应。加快形成层次清晰、上下衔接的专业化人才队伍。加大技术培训力度，加强业务交流，提升高标准农田建设管理和技术人员的业务能力和综合素质。</w:t>
      </w:r>
    </w:p>
    <w:p>
      <w:pPr>
        <w:pStyle w:val="4"/>
        <w:ind w:firstLine="560"/>
        <w:rPr>
          <w:rFonts w:hint="default" w:ascii="Times New Roman" w:hAnsi="Times New Roman" w:cs="Times New Roman"/>
          <w:color w:val="auto"/>
          <w:highlight w:val="none"/>
        </w:rPr>
      </w:pPr>
      <w:bookmarkStart w:id="98" w:name="_Toc150285179"/>
      <w:bookmarkStart w:id="99" w:name="_Toc98928921"/>
      <w:r>
        <w:rPr>
          <w:rFonts w:hint="default" w:ascii="Times New Roman" w:hAnsi="Times New Roman" w:cs="Times New Roman"/>
          <w:color w:val="auto"/>
          <w:highlight w:val="none"/>
        </w:rPr>
        <w:t>四、科技支撑</w:t>
      </w:r>
      <w:bookmarkEnd w:id="98"/>
      <w:bookmarkEnd w:id="99"/>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大力引进和推广高标准农田建设先进实用工程与装备技术，加强农田建设与农机农艺技术的集成与应用。积极开展生态绿色农田、数字农田等专项建设示范。</w:t>
      </w:r>
    </w:p>
    <w:p>
      <w:pPr>
        <w:pStyle w:val="4"/>
        <w:ind w:firstLine="560"/>
        <w:rPr>
          <w:rFonts w:hint="default" w:ascii="Times New Roman" w:hAnsi="Times New Roman" w:cs="Times New Roman"/>
          <w:color w:val="auto"/>
          <w:highlight w:val="none"/>
        </w:rPr>
      </w:pPr>
      <w:bookmarkStart w:id="100" w:name="_Toc98928922"/>
      <w:bookmarkStart w:id="101" w:name="_Toc150285180"/>
      <w:r>
        <w:rPr>
          <w:rFonts w:hint="default" w:ascii="Times New Roman" w:hAnsi="Times New Roman" w:cs="Times New Roman"/>
          <w:color w:val="auto"/>
          <w:highlight w:val="none"/>
        </w:rPr>
        <w:t>五、政策保障</w:t>
      </w:r>
      <w:bookmarkEnd w:id="100"/>
      <w:bookmarkEnd w:id="101"/>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（一）严格保护利用。</w:t>
      </w:r>
      <w:r>
        <w:rPr>
          <w:rFonts w:hint="default" w:ascii="Times New Roman" w:hAnsi="Times New Roman" w:cs="Times New Roman"/>
          <w:bCs/>
          <w:color w:val="auto"/>
          <w:highlight w:val="none"/>
        </w:rPr>
        <w:t>对建成的高标准农田，要划为永久基本农田，实行特殊保护，防止“非农化”，任何单位和个人不得损毁、擅自占用或改变用途。严格耕地占用审批，经依法批准占用高标准农田的，要及时补充，确保高标准农田数量不减少、质量不降低。对水毁等自然损毁的高标准农田，要纳入年度建设任务，及时进行修复或补充。完善粮食主产区利益补偿机制和种粮激励政策，引导高标准农田集中用于重要农产品特别是粮食生产。探索合理耕作制度，实行用地养地相结合，加强后续培肥，防止地力下降。严禁将不达标污水排入农田，严禁将生活垃圾、工业废弃物等倾倒、排放、堆存到农田。</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（二）强化激励考核。</w:t>
      </w:r>
      <w:r>
        <w:rPr>
          <w:rFonts w:hint="default" w:ascii="Times New Roman" w:hAnsi="Times New Roman" w:cs="Times New Roman"/>
          <w:bCs/>
          <w:color w:val="auto"/>
          <w:highlight w:val="none"/>
        </w:rPr>
        <w:t>建立健全“定期调度、分析研判、通报约谈、奖优罚劣”的任务落实机制，加强项目日常监管和跟踪指导，强化质量管理，提升建设成效。按照粮食安党政同责的考核要求，进一步完善高标准农田建设评价制度，强化评价结果运用，对完成任务好的予以倾斜支持，对未完成任务的进行约谈处罚。</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（三）动员群众参与。</w:t>
      </w:r>
      <w:r>
        <w:rPr>
          <w:rFonts w:hint="default" w:ascii="Times New Roman" w:hAnsi="Times New Roman" w:cs="Times New Roman"/>
          <w:bCs/>
          <w:color w:val="auto"/>
          <w:highlight w:val="none"/>
        </w:rPr>
        <w:t>构建群众监督参与机制，积极引导农村集体经济组织、农民、社会组织等各方面广泛参与高标准农田建设工作，形成共同监督、共同参与的良好氛围。注重发挥农民群众的主体作用，激发耕地所有者、农民及新型农业经营主体等参与高标准农田项目规划、建设和管护等方面的积极性、主动性和创造性。</w:t>
      </w:r>
    </w:p>
    <w:p>
      <w:pPr>
        <w:ind w:firstLine="600"/>
        <w:rPr>
          <w:rFonts w:hint="default" w:ascii="Times New Roman" w:hAnsi="Times New Roman" w:cs="Times New Roman"/>
          <w:bCs/>
          <w:color w:val="auto"/>
          <w:highlight w:val="none"/>
        </w:rPr>
      </w:pPr>
      <w:r>
        <w:rPr>
          <w:rFonts w:hint="default" w:ascii="Times New Roman" w:hAnsi="Times New Roman" w:eastAsia="楷体_GB2312" w:cs="Times New Roman"/>
          <w:bCs/>
          <w:color w:val="auto"/>
          <w:highlight w:val="none"/>
        </w:rPr>
        <w:t>（四）做好风险防控。</w:t>
      </w:r>
      <w:r>
        <w:rPr>
          <w:rFonts w:hint="default" w:ascii="Times New Roman" w:hAnsi="Times New Roman" w:cs="Times New Roman"/>
          <w:bCs/>
          <w:color w:val="auto"/>
          <w:highlight w:val="none"/>
        </w:rPr>
        <w:t>树立良好作风，强化廉政建设，严肃工作纪律，推进项目建设公开透明、廉洁高效，切实防范农田建设项目管理风险。加强工作指导，对发现的问题及时督促整改。严格跟踪问责，对履职不力、监管不严、失职渎职的，依法追究有关人员责任。</w:t>
      </w:r>
    </w:p>
    <w:p>
      <w:pPr>
        <w:widowControl/>
        <w:adjustRightInd/>
        <w:spacing w:line="240" w:lineRule="auto"/>
        <w:ind w:firstLine="0" w:firstLineChars="0"/>
        <w:jc w:val="left"/>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br w:type="page"/>
      </w:r>
    </w:p>
    <w:p>
      <w:pPr>
        <w:pStyle w:val="3"/>
        <w:keepNext w:val="0"/>
        <w:keepLines w:val="0"/>
        <w:tabs>
          <w:tab w:val="left" w:pos="142"/>
        </w:tabs>
        <w:overflowPunct w:val="0"/>
        <w:spacing w:after="0" w:line="240" w:lineRule="auto"/>
        <w:rPr>
          <w:rFonts w:hint="default" w:ascii="Times New Roman" w:hAnsi="Times New Roman" w:cs="Times New Roman"/>
          <w:bCs/>
          <w:color w:val="auto"/>
          <w:sz w:val="44"/>
          <w:highlight w:val="none"/>
        </w:rPr>
      </w:pPr>
      <w:bookmarkStart w:id="102" w:name="_Toc150285181"/>
      <w:bookmarkStart w:id="103" w:name="_Toc98928924"/>
      <w:r>
        <w:rPr>
          <w:rFonts w:hint="default" w:ascii="Times New Roman" w:hAnsi="Times New Roman" w:cs="Times New Roman"/>
          <w:bCs/>
          <w:color w:val="auto"/>
          <w:sz w:val="44"/>
          <w:highlight w:val="none"/>
        </w:rPr>
        <w:t>附 件</w:t>
      </w:r>
      <w:bookmarkEnd w:id="102"/>
    </w:p>
    <w:p>
      <w:pPr>
        <w:overflowPunct w:val="0"/>
        <w:adjustRightInd/>
        <w:ind w:firstLine="600"/>
        <w:jc w:val="left"/>
        <w:outlineLvl w:val="1"/>
        <w:rPr>
          <w:rFonts w:hint="default" w:ascii="Times New Roman" w:hAnsi="Times New Roman" w:eastAsia="黑体" w:cs="Times New Roman"/>
          <w:bCs/>
          <w:color w:val="auto"/>
          <w:szCs w:val="32"/>
          <w:highlight w:val="none"/>
        </w:rPr>
      </w:pPr>
      <w:bookmarkStart w:id="104" w:name="_Toc150285182"/>
      <w:r>
        <w:rPr>
          <w:rFonts w:hint="default" w:ascii="Times New Roman" w:hAnsi="Times New Roman" w:eastAsia="黑体" w:cs="Times New Roman"/>
          <w:bCs/>
          <w:color w:val="auto"/>
          <w:szCs w:val="32"/>
          <w:highlight w:val="none"/>
        </w:rPr>
        <w:t>一、附表</w:t>
      </w:r>
      <w:bookmarkEnd w:id="103"/>
      <w:bookmarkEnd w:id="104"/>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泸县分镇基本情况表</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w:t>
      </w:r>
      <w:bookmarkStart w:id="105" w:name="_Hlk150283163"/>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泸县2023—2032年新建高标准农田分年度建设任务表</w:t>
      </w:r>
    </w:p>
    <w:bookmarkEnd w:id="105"/>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泸县2023—2032年改造提升高标准农田分年度建设任务表</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泸县2023—2032年新建高效节水灌溉分年度建设任务表</w:t>
      </w:r>
    </w:p>
    <w:p>
      <w:pPr>
        <w:pStyle w:val="2"/>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泸县2023—2032年高标准农田建设工程汇总表</w:t>
      </w:r>
    </w:p>
    <w:p>
      <w:pPr>
        <w:overflowPunct w:val="0"/>
        <w:adjustRightInd/>
        <w:ind w:firstLine="600"/>
        <w:jc w:val="left"/>
        <w:outlineLvl w:val="1"/>
        <w:rPr>
          <w:rFonts w:hint="default" w:ascii="Times New Roman" w:hAnsi="Times New Roman" w:eastAsia="黑体" w:cs="Times New Roman"/>
          <w:bCs/>
          <w:color w:val="auto"/>
          <w:szCs w:val="32"/>
          <w:highlight w:val="none"/>
        </w:rPr>
      </w:pPr>
      <w:bookmarkStart w:id="106" w:name="_Toc98928925"/>
      <w:bookmarkStart w:id="107" w:name="_Toc150285183"/>
      <w:r>
        <w:rPr>
          <w:rFonts w:hint="default" w:ascii="Times New Roman" w:hAnsi="Times New Roman" w:eastAsia="黑体" w:cs="Times New Roman"/>
          <w:bCs/>
          <w:color w:val="auto"/>
          <w:szCs w:val="32"/>
          <w:highlight w:val="none"/>
        </w:rPr>
        <w:t>二、附图</w:t>
      </w:r>
      <w:bookmarkEnd w:id="106"/>
      <w:bookmarkEnd w:id="107"/>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泸县地理区位图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泸县地形分析图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泸县耕地现状分布图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泸县永久基本农田分布图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5</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2011—2022年已建高标准农田分布图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6</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泸县未建高标准农田（永久基本农田内）分布图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7</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泸县2023—2032年高标准农田建设分区图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8</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2023—2032年新建高标准农田建设规划图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9</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2023—2032年改造提升高标准农田建设规划图</w:t>
      </w:r>
    </w:p>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10</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2023—2032年新建高效节水灌溉建设规划图</w:t>
      </w:r>
    </w:p>
    <w:p>
      <w:pPr>
        <w:pStyle w:val="2"/>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br w:type="page"/>
      </w:r>
    </w:p>
    <w:p>
      <w:pPr>
        <w:overflowPunct w:val="0"/>
        <w:adjustRightInd/>
        <w:ind w:firstLine="600"/>
        <w:jc w:val="center"/>
        <w:outlineLvl w:val="1"/>
        <w:rPr>
          <w:rFonts w:hint="default" w:ascii="Times New Roman" w:hAnsi="Times New Roman" w:eastAsia="黑体" w:cs="Times New Roman"/>
          <w:bCs/>
          <w:color w:val="auto"/>
          <w:szCs w:val="32"/>
          <w:highlight w:val="none"/>
        </w:rPr>
        <w:sectPr>
          <w:pgSz w:w="11905" w:h="16838"/>
          <w:pgMar w:top="2154" w:right="1417" w:bottom="2041" w:left="1531" w:header="851" w:footer="992" w:gutter="0"/>
          <w:cols w:space="425" w:num="1"/>
          <w:docGrid w:type="lines" w:linePitch="312" w:charSpace="0"/>
        </w:sectPr>
      </w:pPr>
    </w:p>
    <w:p>
      <w:pPr>
        <w:ind w:firstLine="800"/>
        <w:jc w:val="center"/>
        <w:rPr>
          <w:rFonts w:hint="default" w:ascii="Times New Roman" w:hAnsi="Times New Roman" w:eastAsia="黑体" w:cs="Times New Roman"/>
          <w:bCs/>
          <w:color w:val="auto"/>
          <w:sz w:val="40"/>
          <w:szCs w:val="24"/>
          <w:highlight w:val="none"/>
        </w:rPr>
      </w:pPr>
      <w:r>
        <w:rPr>
          <w:rFonts w:hint="default" w:ascii="Times New Roman" w:hAnsi="Times New Roman" w:eastAsia="黑体" w:cs="Times New Roman"/>
          <w:bCs/>
          <w:color w:val="auto"/>
          <w:sz w:val="40"/>
          <w:szCs w:val="24"/>
          <w:highlight w:val="none"/>
        </w:rPr>
        <w:t>附   表</w:t>
      </w: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附表1  .泸县分镇基本情况表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1301"/>
        <w:gridCol w:w="1805"/>
        <w:gridCol w:w="1273"/>
        <w:gridCol w:w="1272"/>
        <w:gridCol w:w="1150"/>
        <w:gridCol w:w="1150"/>
        <w:gridCol w:w="1151"/>
        <w:gridCol w:w="1157"/>
        <w:gridCol w:w="1157"/>
        <w:gridCol w:w="11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647"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玉蟾街道</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福集镇</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嘉明镇</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喻寺镇</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得胜镇</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牛滩镇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项目区涉及行政区域</w:t>
            </w: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村数</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个</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283</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人口情况</w:t>
            </w: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农村居民总户数</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户</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248506</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14064</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14943</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9669</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11427</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14064</w:t>
            </w:r>
          </w:p>
        </w:tc>
        <w:tc>
          <w:tcPr>
            <w:tcW w:w="42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农村居民总人口</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750037</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40785</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43334</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28040</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33138</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40785</w:t>
            </w:r>
          </w:p>
        </w:tc>
        <w:tc>
          <w:tcPr>
            <w:tcW w:w="42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43334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区域劳动力人口</w:t>
            </w: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473823</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25694</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27300</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17665</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20876</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25694</w:t>
            </w:r>
          </w:p>
        </w:tc>
        <w:tc>
          <w:tcPr>
            <w:tcW w:w="42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从事家庭经营</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306700</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21339</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20095</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12664</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14657</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18136</w:t>
            </w:r>
          </w:p>
        </w:tc>
        <w:tc>
          <w:tcPr>
            <w:tcW w:w="42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25554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外出务工人口</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168371</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4355</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7205</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5001</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6219</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7558</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1746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50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人均可支配收入</w:t>
            </w:r>
          </w:p>
        </w:tc>
        <w:tc>
          <w:tcPr>
            <w:tcW w:w="114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农民人均可支配收入</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元</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19855</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21808</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19680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20488</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20081</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20393</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项目区基本情况</w:t>
            </w:r>
          </w:p>
        </w:tc>
        <w:tc>
          <w:tcPr>
            <w:tcW w:w="48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耕地面积</w:t>
            </w: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耕地面积</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万亩</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108.86</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3.79</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6.43</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3.77</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5.66</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永久基本农田面积</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亩</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98.07</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2.28</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5.92</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3.43</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5.33</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农业生产基本情况</w:t>
            </w: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粮食作物面积</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万亩</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124.58</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4.34</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7.36</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4.31</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5.72</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6.48</w:t>
            </w:r>
          </w:p>
        </w:tc>
        <w:tc>
          <w:tcPr>
            <w:tcW w:w="42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粮食作物产量</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542872.00</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22555.00</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31337.00</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20774.00</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25413.00</w:t>
            </w:r>
          </w:p>
        </w:tc>
        <w:tc>
          <w:tcPr>
            <w:tcW w:w="42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29312.00</w:t>
            </w:r>
          </w:p>
        </w:tc>
        <w:tc>
          <w:tcPr>
            <w:tcW w:w="42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25851.00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水利设施基本情况</w:t>
            </w: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山坪塘</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8943</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224</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368</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101</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520</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提灌站</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472</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渠道</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（条/公里)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110/245.768</w:t>
            </w:r>
          </w:p>
        </w:tc>
        <w:tc>
          <w:tcPr>
            <w:tcW w:w="42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9/18.05</w:t>
            </w:r>
          </w:p>
        </w:tc>
        <w:tc>
          <w:tcPr>
            <w:tcW w:w="42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6/21</w:t>
            </w:r>
          </w:p>
        </w:tc>
        <w:tc>
          <w:tcPr>
            <w:tcW w:w="42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19/66.938</w:t>
            </w:r>
          </w:p>
        </w:tc>
        <w:tc>
          <w:tcPr>
            <w:tcW w:w="429"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8/15.78</w:t>
            </w:r>
          </w:p>
        </w:tc>
        <w:tc>
          <w:tcPr>
            <w:tcW w:w="429"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7/28.9</w:t>
            </w:r>
          </w:p>
        </w:tc>
        <w:tc>
          <w:tcPr>
            <w:tcW w:w="42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村道</w:t>
            </w: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1055.076</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37.2</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42.5</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43.63</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48.3</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41.5</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未硬化</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组道</w:t>
            </w: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2985.74</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138.1</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149.8</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92.6</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117.3</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60.6</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未硬化</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699.09</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22.1</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36.2</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21.5</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23.9</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39.6</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生产路</w:t>
            </w: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已建（硬化）</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745.347</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68.3</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33.7</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48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66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已建（未硬化）</w:t>
            </w:r>
          </w:p>
        </w:tc>
        <w:tc>
          <w:tcPr>
            <w:tcW w:w="4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834.918</w:t>
            </w:r>
          </w:p>
        </w:tc>
        <w:tc>
          <w:tcPr>
            <w:tcW w:w="42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41.6</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12.5</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28.3</w:t>
            </w:r>
          </w:p>
        </w:tc>
        <w:tc>
          <w:tcPr>
            <w:tcW w:w="42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4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19.6</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续（1）  附表1  泸县分镇基本情况表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62"/>
        <w:gridCol w:w="883"/>
        <w:gridCol w:w="2048"/>
        <w:gridCol w:w="883"/>
        <w:gridCol w:w="1327"/>
        <w:gridCol w:w="1327"/>
        <w:gridCol w:w="1327"/>
        <w:gridCol w:w="1327"/>
        <w:gridCol w:w="1327"/>
        <w:gridCol w:w="13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828"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兆雅镇</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玄滩镇</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太伏镇</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云龙镇</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石桥镇</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毗卢镇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项目区涉及行政区域</w:t>
            </w: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村数</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个</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人口情况</w:t>
            </w: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农村居民总户数</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户</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7911</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21075</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17580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13185</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11458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农村居民总人口</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22941</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79413</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50982</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38236</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38998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37694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区域劳动力人口</w:t>
            </w: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14452</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51825</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32118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24088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24169</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23662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从事家庭经营</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9846</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16722</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24031</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17840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6196</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外出务工人口</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4606</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35273</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8087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6248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17435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17323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7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人均可支配收入</w:t>
            </w:r>
          </w:p>
        </w:tc>
        <w:tc>
          <w:tcPr>
            <w:tcW w:w="1052"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农民人均可支配收入</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元</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20214</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21239</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20284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20744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20664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项目区基本情况</w:t>
            </w:r>
          </w:p>
        </w:tc>
        <w:tc>
          <w:tcPr>
            <w:tcW w:w="31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耕地面积</w:t>
            </w:r>
          </w:p>
        </w:tc>
        <w:tc>
          <w:tcPr>
            <w:tcW w:w="735"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耕地面积</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万亩</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3.69</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4.82</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永久基本农田面积</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亩</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8.67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7.02</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4.26</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农业生产基本情况</w:t>
            </w: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粮食作物面积</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万亩</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4.22</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10.70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9.77</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5.52</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5.69</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粮食作物产量</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28404.00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40796.00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37728.00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31174.00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19961.00</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23307.00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水利设施基本情况</w:t>
            </w: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山坪塘</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726</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656</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1243</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262</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提灌站</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渠道</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（条/公里)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7/11.67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村道</w:t>
            </w: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153.5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41.1</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105.47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未硬化</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组道</w:t>
            </w: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460.7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143.9</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161.5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258.7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未硬化</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50.6</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24.95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76.2</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生产路</w:t>
            </w: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已建（硬化）</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22.7</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115.017</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36.9</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776"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17"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已建（未硬化）</w:t>
            </w:r>
          </w:p>
        </w:tc>
        <w:tc>
          <w:tcPr>
            <w:tcW w:w="3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27.8</w:t>
            </w:r>
          </w:p>
        </w:tc>
        <w:tc>
          <w:tcPr>
            <w:tcW w:w="47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134.8</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56.6</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25.4</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48.9</w:t>
            </w:r>
          </w:p>
        </w:tc>
        <w:tc>
          <w:tcPr>
            <w:tcW w:w="47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76.9</w:t>
            </w:r>
          </w:p>
        </w:tc>
      </w:tr>
    </w:tbl>
    <w:p>
      <w:pPr>
        <w:pStyle w:val="2"/>
        <w:ind w:firstLine="600"/>
        <w:rPr>
          <w:rFonts w:hint="default" w:ascii="Times New Roman" w:hAnsi="Times New Roman" w:cs="Times New Roman"/>
          <w:bCs/>
          <w:color w:val="auto"/>
          <w:highlight w:val="none"/>
        </w:rPr>
        <w:sectPr>
          <w:pgSz w:w="16838" w:h="11905" w:orient="landscape"/>
          <w:pgMar w:top="1418" w:right="1701" w:bottom="1588" w:left="1418" w:header="851" w:footer="992" w:gutter="0"/>
          <w:cols w:space="425" w:num="1"/>
          <w:docGrid w:type="linesAndChars" w:linePitch="312" w:charSpace="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续（2）  附表1  . 泸县分镇基本情况表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93"/>
        <w:gridCol w:w="1176"/>
        <w:gridCol w:w="1851"/>
        <w:gridCol w:w="1210"/>
        <w:gridCol w:w="1020"/>
        <w:gridCol w:w="1067"/>
        <w:gridCol w:w="1067"/>
        <w:gridCol w:w="1067"/>
        <w:gridCol w:w="1067"/>
        <w:gridCol w:w="1067"/>
        <w:gridCol w:w="1029"/>
        <w:gridCol w:w="10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549"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奇峰镇</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潮河镇</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云锦镇</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立石镇</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百和镇</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天兴镇</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方洞镇</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海潮镇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项目区涉及行政区域</w:t>
            </w: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村数</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个</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人口情况</w:t>
            </w: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农村居民总户数</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户</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13185</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12306</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14943</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9669</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10548</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7911</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11427</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农村居民总人口</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38236</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35687</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43334</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28040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30589</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22941</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33138</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20392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区域劳动力人口</w:t>
            </w: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24088</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22482</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27300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17665</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19271</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14452</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20876</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12846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从事家庭经营</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16103</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19923</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17205</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11681</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12693</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10204</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13503</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10353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外出务工人口</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7985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2559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10095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5984</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6578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4248</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7373</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2493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4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人均可支配收入</w:t>
            </w:r>
          </w:p>
        </w:tc>
        <w:tc>
          <w:tcPr>
            <w:tcW w:w="108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农民人均可支配收入</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元</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20723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19711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20061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20209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20183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19975</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20160</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19579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项目区基本情况</w:t>
            </w:r>
          </w:p>
        </w:tc>
        <w:tc>
          <w:tcPr>
            <w:tcW w:w="42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耕地面积</w:t>
            </w:r>
          </w:p>
        </w:tc>
        <w:tc>
          <w:tcPr>
            <w:tcW w:w="664"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耕地面积</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万亩</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6.22</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4.47</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3.12</w:t>
            </w:r>
          </w:p>
        </w:tc>
        <w:tc>
          <w:tcPr>
            <w:tcW w:w="36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5.68</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永久基本农田面积</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亩</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2.94</w:t>
            </w:r>
          </w:p>
        </w:tc>
        <w:tc>
          <w:tcPr>
            <w:tcW w:w="36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5.35</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农业生产基本情况</w:t>
            </w: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粮食作物面积</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万亩</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6.27</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7.12</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9.25</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5.12</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7.32</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3.57</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6.50</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粮食作物产量</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吨</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27131.00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30074.00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34701.00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21375.00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28236.00</w:t>
            </w:r>
          </w:p>
        </w:tc>
        <w:tc>
          <w:tcPr>
            <w:tcW w:w="3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18537.00</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25988.00</w:t>
            </w:r>
          </w:p>
        </w:tc>
        <w:tc>
          <w:tcPr>
            <w:tcW w:w="36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20218.00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水利设施基本情况</w:t>
            </w: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山坪塘</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620</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207</w:t>
            </w:r>
          </w:p>
        </w:tc>
        <w:tc>
          <w:tcPr>
            <w:tcW w:w="36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186</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提灌站</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座</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36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渠道</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（条/公里)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13/9.5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1/1.6</w:t>
            </w:r>
          </w:p>
        </w:tc>
        <w:tc>
          <w:tcPr>
            <w:tcW w:w="36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村道</w:t>
            </w: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35.636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49.08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41.2</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34.5</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未硬化</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组道</w:t>
            </w: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224.62</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228.6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135.23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117.3</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124.35</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49.54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未硬化</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42.2</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33.44</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21.8</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38.3</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生产路</w:t>
            </w: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已建（硬化）</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39.6</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44.53</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24.4</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26.2</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70.6</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464"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2" w:type="pct"/>
            <w:vMerge w:val="continue"/>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6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已建（未硬化）</w:t>
            </w:r>
          </w:p>
        </w:tc>
        <w:tc>
          <w:tcPr>
            <w:tcW w:w="4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公里</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48.8</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18.9</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22.7</w:t>
            </w:r>
          </w:p>
        </w:tc>
        <w:tc>
          <w:tcPr>
            <w:tcW w:w="3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97.118</w:t>
            </w:r>
          </w:p>
        </w:tc>
        <w:tc>
          <w:tcPr>
            <w:tcW w:w="36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21.4</w:t>
            </w:r>
          </w:p>
        </w:tc>
      </w:tr>
    </w:tbl>
    <w:p>
      <w:pPr>
        <w:pStyle w:val="2"/>
        <w:ind w:firstLine="600"/>
        <w:rPr>
          <w:rFonts w:hint="default" w:ascii="Times New Roman" w:hAnsi="Times New Roman" w:cs="Times New Roman"/>
          <w:bCs/>
          <w:color w:val="auto"/>
          <w:highlight w:val="none"/>
        </w:rPr>
        <w:sectPr>
          <w:pgSz w:w="16838" w:h="11905" w:orient="landscape"/>
          <w:pgMar w:top="1418" w:right="1701" w:bottom="1588" w:left="1418" w:header="851" w:footer="992" w:gutter="0"/>
          <w:cols w:space="425" w:num="1"/>
          <w:docGrid w:type="linesAndChars" w:linePitch="312" w:charSpace="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附表2. 泸县2023—2032年新建高标准农田分年度建设任务表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888"/>
        <w:gridCol w:w="1240"/>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841"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276"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石鸭滩村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陈沱村、古桥村、雷达村、齐心村、兴隆村、赵南村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2.26</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1.59</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大山村、石龙井村、双石村、王坪村、玉溪村、张枣村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0.66</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龙井村、天台寺村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艾大桥村、柏杨村、普照村、三溪村、天堂村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2.06</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0.17</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1.78</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东林观村、四合村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0.98</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23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场口村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0.41</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0.41</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三界村、宋田村、雨锋村</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0.46</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0.78</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10.71</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7.74</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0.80</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古桥村、雷坝村、新桥村、赵南村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刁河村、黄坭村、黄泥滩村、平安村、石鹅沟村、太阳村、涂场村、玉石村、朱和村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3.04</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3.03</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王庄村、五谷寺村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志城村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三界村、石牌坊村、宋田村、薛湾村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续（1） 附表.2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531"/>
        <w:gridCol w:w="1597"/>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1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404"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黄金村、九曲河村、龙朝村、马溪河村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财政公山、草坝村、大桥村、雷公村、林试站、螺蛳山村、茂盛村、清华村、沙土村、团仓村、赵岩村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雷达村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潮河村、伏鱼村、桂凤村、红兴村、天堂坝村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田坝村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陈田村、董湾村、庆丰村、新联村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9.13</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5.45</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龙阴沟村、荞子坝村、上顶山村、顺民村、桐乐村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大水河村、高家咀村、伏耳村、葛藤湾村、两河村、龙河村、龙滩子村、先锋村、英雄村、战旗村、朱梅滩村、杨高村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3.63</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宝丰村、红木村、石城村、阳高村、渔庆村、玉田村、长林村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2.10</w:t>
            </w:r>
          </w:p>
        </w:tc>
        <w:tc>
          <w:tcPr>
            <w:tcW w:w="23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8.56</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56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续（2） 附表2  2023—2032年泸县新建高标准农田分年度建设任务表</w:t>
      </w:r>
    </w:p>
    <w:tbl>
      <w:tblPr>
        <w:tblStyle w:val="44"/>
        <w:tblW w:w="483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1195"/>
        <w:gridCol w:w="3414"/>
        <w:gridCol w:w="1540"/>
        <w:gridCol w:w="1224"/>
        <w:gridCol w:w="1009"/>
        <w:gridCol w:w="1006"/>
        <w:gridCol w:w="1125"/>
        <w:gridCol w:w="1424"/>
        <w:gridCol w:w="6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09"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399"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46"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4" w:hRule="atLeast"/>
        </w:trPr>
        <w:tc>
          <w:tcPr>
            <w:tcW w:w="336"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白龙塔村、代桥村、古二井村、建设社区、工矿社区、清溪社区</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0.51</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4"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罗桥村、少华村、石燕村、双河口村、大同村、复兴村、葛林湾村、护松村、团山堡村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3.05</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0.25</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0.16</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海罗村、劳动村、龙凤村、涂丰村、新屋村、中心村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2.65</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0.82</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1.84</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1.60</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1.59</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4"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高楼湾村、莲花村、毛楼村、荞子坡村、沙子坪村、下林村、雄峰村、中峰村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2.37</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0.21</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2.16</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艾大桥村、水鸭池村、下湾村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1.37</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0.86</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0.51</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0.23</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屈湾村、石牌坊村、雨锋村、增湾村、邹寺村、国有林场</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2.06</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1.65</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0.40</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0.39</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小白村、徐场村</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0.74</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0.36</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336"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13.49</w:t>
            </w:r>
          </w:p>
        </w:tc>
        <w:tc>
          <w:tcPr>
            <w:tcW w:w="45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7.11</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6.37</w:t>
            </w:r>
          </w:p>
        </w:tc>
        <w:tc>
          <w:tcPr>
            <w:tcW w:w="3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0.76</w:t>
            </w:r>
          </w:p>
        </w:tc>
        <w:tc>
          <w:tcPr>
            <w:tcW w:w="41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5.61</w:t>
            </w:r>
          </w:p>
        </w:tc>
        <w:tc>
          <w:tcPr>
            <w:tcW w:w="52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23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续（3） 附表.2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2"/>
        <w:gridCol w:w="1380"/>
        <w:gridCol w:w="3746"/>
        <w:gridCol w:w="1235"/>
        <w:gridCol w:w="1349"/>
        <w:gridCol w:w="1148"/>
        <w:gridCol w:w="1148"/>
        <w:gridCol w:w="1168"/>
        <w:gridCol w:w="1190"/>
        <w:gridCol w:w="6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839"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2170" w:type="pct"/>
            <w:gridSpan w:val="5"/>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42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4"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427"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4"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w:t>
            </w: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大坪村、金钱村、万宝村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0.87</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0.24</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2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陈沱村、国有林场、红卫水库管理、齐心村、谭坝村、桐远社区、兴隆村、兴顺社区、鸦峰岩村、周堰村、红木村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2.55</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1.69</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0.86</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0.34</w:t>
            </w:r>
          </w:p>
        </w:tc>
        <w:tc>
          <w:tcPr>
            <w:tcW w:w="2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寿尊村、团结村、新林村、赵湾村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0.27</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0.98</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0.89</w:t>
            </w:r>
          </w:p>
        </w:tc>
        <w:tc>
          <w:tcPr>
            <w:tcW w:w="2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红兴村、后湾村、龙江村、唐寺村、天才村、朱家坪村、王坪村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3.38</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2.43</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0.44</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1.99</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1.55</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板栗村、曹湾村、场口村、龙凤村、一心村、垣山村、横江村</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2.28</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1.40</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0.88</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陈湾村、红合村、尖山村、流滩坝村、龙塘村、兴盛社区</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2.15</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1.48</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0.67</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0.59</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trPr>
        <w:tc>
          <w:tcPr>
            <w:tcW w:w="33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12.48</w:t>
            </w:r>
          </w:p>
        </w:tc>
        <w:tc>
          <w:tcPr>
            <w:tcW w:w="48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6.02</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6.46</w:t>
            </w:r>
          </w:p>
        </w:tc>
        <w:tc>
          <w:tcPr>
            <w:tcW w:w="41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41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5.66</w:t>
            </w:r>
          </w:p>
        </w:tc>
        <w:tc>
          <w:tcPr>
            <w:tcW w:w="42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4.47</w:t>
            </w:r>
          </w:p>
        </w:tc>
        <w:tc>
          <w:tcPr>
            <w:tcW w:w="2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56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续（4）附表2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531"/>
        <w:gridCol w:w="1597"/>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13"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404"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龙华村、神龙村、水竹林村、小马滩村、玉蟾村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国有林场、李子村、石鸭滩村、小冲子村、鱼目村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1.61</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大石坪村、凤鸣村、古佛村、两河村、石龙村、型家村、燕岩村、永和村、安贤社区</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金龙寺村、老油房村、通山村、玄丰村、易湾村、柏杨村、喻坪社区</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2.23</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0.07</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王坪村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斑竹林村、板桥村、花园村、黄泥堡村、骑龙寺村、湾头村、卫和村、云丰村、国有林场</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3.40</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东岳村、军大丘村、兴隆嘴村</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1.61</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7"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13.49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7.40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5.26</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4.60</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48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续（5）附表2  2023—2032年泸县新建高标准农田分年度建设任务表</w:t>
      </w:r>
    </w:p>
    <w:tbl>
      <w:tblPr>
        <w:tblStyle w:val="44"/>
        <w:tblW w:w="476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08"/>
        <w:gridCol w:w="1175"/>
        <w:gridCol w:w="3362"/>
        <w:gridCol w:w="1512"/>
        <w:gridCol w:w="1201"/>
        <w:gridCol w:w="997"/>
        <w:gridCol w:w="989"/>
        <w:gridCol w:w="989"/>
        <w:gridCol w:w="1517"/>
        <w:gridCol w:w="6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4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707"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396"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4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4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白象村、高石塔村、门斗山村、大水坝村、得胜村、东皇殿村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2.08</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1.24</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0.14</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0.71</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0.70</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八甲村、白洋村、革新村、横江村、建设村、接龙村、天全村、坳田村、红旗村、天才村、王坝村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2.82</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2.45</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0.38</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0.12</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0.26</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大王山村、大堰村、红山村、洪安桥村、黄荆湾村、吉祥村、农丰村、秦家坝村、新屋咀村、兴盛村、银朝村、国有林场</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3.97</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1.75</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2.23</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1.71</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1.73</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2"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柏杨村、普照村、三溪村、天堂村、渔塘村、中咀村、二郎井社区、玉龙村</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2.68</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1.46</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0.15</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1.31</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0.65</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4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26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69"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11.55</w:t>
            </w:r>
          </w:p>
        </w:tc>
        <w:tc>
          <w:tcPr>
            <w:tcW w:w="45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6.54</w:t>
            </w:r>
          </w:p>
        </w:tc>
        <w:tc>
          <w:tcPr>
            <w:tcW w:w="37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4.91</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0.92</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3.99</w:t>
            </w:r>
          </w:p>
        </w:tc>
        <w:tc>
          <w:tcPr>
            <w:tcW w:w="57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2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56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续（6）附表2  2023—2032年泸县新建高标准农田分年度建设任务表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1243"/>
        <w:gridCol w:w="3888"/>
        <w:gridCol w:w="1240"/>
        <w:gridCol w:w="1271"/>
        <w:gridCol w:w="1045"/>
        <w:gridCol w:w="1045"/>
        <w:gridCol w:w="1045"/>
        <w:gridCol w:w="1597"/>
        <w:gridCol w:w="6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1841"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1275" w:type="pct"/>
            <w:gridSpan w:val="3"/>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永久基本农田高标准农田现状</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规划新建高标准农田</w:t>
            </w:r>
          </w:p>
        </w:tc>
        <w:tc>
          <w:tcPr>
            <w:tcW w:w="232"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未建高标准农田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不可建高标准农田</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可建高标准农田</w:t>
            </w:r>
          </w:p>
        </w:tc>
        <w:tc>
          <w:tcPr>
            <w:tcW w:w="573"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3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茅坝村、云丰村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0.84</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0.13</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永定村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坳丘村、白合村、陈家河村、罗汉坝村、国有林场、中峰街社区</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1.68</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0.60</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大江村、共和村、华通村、金鱼村、柿子村、板桥村、宝藏社区、天台寺村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稻子村、翻身村、冯石村、桂花村、龙井村、天台寺村、旺龙山村、长潮村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1.75</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1.42</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方碑村、蒋坝村、骑龙村、伏龙村、楼方咀村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2.32</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1.16</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1.03</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0.91</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10.99</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6.00</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3.19</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80" w:hRule="atLeast"/>
        </w:trPr>
        <w:tc>
          <w:tcPr>
            <w:tcW w:w="32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w:t>
            </w: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大坪子村、大山村、伏龙村、林桥村、神仙桥社区、青桥村、沙河村、石坝村、石龙井村、双石村、王坪村、太平社区、王湾村、五里村、新石村、永利村、渔湾村、玉溪村、张枣村、照南山村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7.02</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0.79</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3.27</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排楼村、朱巷村</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0.52</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0.41</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0.33</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0.06</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2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4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39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7.97</w:t>
            </w:r>
          </w:p>
        </w:tc>
        <w:tc>
          <w:tcPr>
            <w:tcW w:w="456"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4.48</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0.87</w:t>
            </w:r>
          </w:p>
        </w:tc>
        <w:tc>
          <w:tcPr>
            <w:tcW w:w="375"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3.61</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2.08</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74" w:type="pct"/>
            <w:gridSpan w:val="2"/>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总计</w:t>
            </w:r>
          </w:p>
        </w:tc>
        <w:tc>
          <w:tcPr>
            <w:tcW w:w="139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4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56"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5"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7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43.95</w:t>
            </w:r>
          </w:p>
        </w:tc>
        <w:tc>
          <w:tcPr>
            <w:tcW w:w="23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56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附表3  2023—2032年泸县提质改造高标准农田分年度建设任务表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527"/>
        <w:gridCol w:w="5429"/>
        <w:gridCol w:w="1789"/>
        <w:gridCol w:w="1488"/>
        <w:gridCol w:w="1527"/>
        <w:gridCol w:w="10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9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117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永久基本农田现状</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提质改造高标准农田</w:t>
            </w:r>
          </w:p>
        </w:tc>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9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大同村、复兴村、葛林湾村、护松村、罗桥村、双河口村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1.95</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1.78</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古桥村、雷坝村、雷达村、齐心村、谭坝村、新桥村、兴隆村、鸦峰岩村、周堰村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方洞镇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陈田村、董湾村、庆丰村、屈湾村、石牌坊村、宋田村、新联村、薛湾村、增湾村、邹寺村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2.76</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11.49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7.02</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6.74</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玉蟾街道</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黄金村、龙华村、龙桥社区、马溪河村、水竹林村、小马滩村、玉蟾村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福集镇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李子村、茂盛村、清华村、团仓村、万宝村、小冲子村、鱼目村、赵岩村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2.14</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2.04</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嘉明镇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少华村、狮子村、石燕村、团山堡村、复兴村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1.69</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接龙村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潮河村、伏鱼村、天才村、五谷寺村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天兴镇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曹湾村、龙凤村、田坝村、一心村、垣山村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1.77</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10.14</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6.99</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牛滩镇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坳田村、八甲村、红旗村、建设村、接龙村、寿尊村、天全村、王坝村、新加村、新林村、营山村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海潮镇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陈湾村、红合村、尖山村、流滩坝村、龙塘村、小白村、徐场村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0.99</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3.34</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续（1） 附表3  2023—2032年泸县提质改造高标准农田分年度建设任务表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527"/>
        <w:gridCol w:w="5429"/>
        <w:gridCol w:w="1789"/>
        <w:gridCol w:w="1488"/>
        <w:gridCol w:w="1527"/>
        <w:gridCol w:w="10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19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1176"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永久基本农田现状</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提质改造高标准农田</w:t>
            </w:r>
          </w:p>
        </w:tc>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19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64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白象村、大水坝村、得胜村、东皇殿村、高石塔村、贯顶山村、接官坝村、龙阴沟村、荞子坝村、仁和村、上顶山村、顺民村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得胜镇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东皇殿村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0.56</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0.18</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大水河村、伏耳村、高家咀村、葛藤湾村、龙河村、茅坝村、杨高村、朱梅滩村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1.67</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永定村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0.29</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0.03</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宝丰村、大江村、共和村、红木村、华通村、金鱼村、柿子村、渔庆村、玉田村、长林村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4.37</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w:t>
            </w:r>
          </w:p>
        </w:tc>
        <w:tc>
          <w:tcPr>
            <w:tcW w:w="39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金龙寺村、老油房村、通山村、涂场村、涂丰村、新屋村、玄丰村、易湾村、龙滩子村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云龙镇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先锋村、英雄村、云丰村、龙滩子村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陈家河村、罗汉坝村、下林村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翻身村、桂花村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4.98</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斑竹林村、板桥村、桂花村、卫和村、长潮村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1.64</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普照村、水鸭池村、下湾村、渔塘村、玉龙村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1.45</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1948"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东岳村、军大丘村、楼方咀村、骑龙村、朱巷村</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1948"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642"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7.24</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续（2） 附表3  2023—2032年泸县提质改造高标准农田分年度建设任务表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7"/>
        <w:gridCol w:w="1527"/>
        <w:gridCol w:w="5594"/>
        <w:gridCol w:w="1625"/>
        <w:gridCol w:w="1488"/>
        <w:gridCol w:w="1527"/>
        <w:gridCol w:w="10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2007"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1117"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永久基本农田现状</w:t>
            </w:r>
          </w:p>
        </w:tc>
        <w:tc>
          <w:tcPr>
            <w:tcW w:w="54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提质改造高标准农田</w:t>
            </w:r>
          </w:p>
        </w:tc>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2007"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83"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现有永久基本农田面积</w:t>
            </w:r>
          </w:p>
        </w:tc>
        <w:tc>
          <w:tcPr>
            <w:tcW w:w="534"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已建成高标准农田</w:t>
            </w:r>
          </w:p>
        </w:tc>
        <w:tc>
          <w:tcPr>
            <w:tcW w:w="54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斑竹林村、板桥村、桂花村、卫和村、长潮村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1.64</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普照村、水鸭池村、下湾村、渔塘村、玉龙村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1.45</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东岳村、军大丘村、楼方咀村、骑龙村、朱巷村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3.01</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200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7.24</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5.10</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大石坪村、凤鸣村、古佛村、两河村、石龙村、型家村、燕岩村、永和村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2.07</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伏龙村、青桥村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0.95</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0.87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0.72</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百和镇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骑龙村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0.56</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2007" w:type="pct"/>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5.38</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3.67</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3.35</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90"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007"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大山村、伏龙村、林桥村、沙河村、石坝村、石龙井村、双石村、王坪村、王湾村、新石村、渔湾村</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2.09</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9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48"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小计</w:t>
            </w:r>
          </w:p>
        </w:tc>
        <w:tc>
          <w:tcPr>
            <w:tcW w:w="200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4.72</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2.71</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2.09</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938" w:type="pct"/>
            <w:gridSpan w:val="2"/>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总计</w:t>
            </w:r>
          </w:p>
        </w:tc>
        <w:tc>
          <w:tcPr>
            <w:tcW w:w="2007"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83"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34"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4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36.21</w:t>
            </w:r>
          </w:p>
        </w:tc>
        <w:tc>
          <w:tcPr>
            <w:tcW w:w="39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widowControl/>
        <w:adjustRightInd/>
        <w:spacing w:line="240" w:lineRule="auto"/>
        <w:ind w:firstLine="0" w:firstLineChars="0"/>
        <w:jc w:val="left"/>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附表4  2023—2032年泸县新增高效节水灌溉分年度建设任务表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6"/>
        <w:gridCol w:w="2152"/>
        <w:gridCol w:w="7535"/>
        <w:gridCol w:w="1416"/>
        <w:gridCol w:w="14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规划年度</w:t>
            </w:r>
          </w:p>
        </w:tc>
        <w:tc>
          <w:tcPr>
            <w:tcW w:w="3475" w:type="pct"/>
            <w:gridSpan w:val="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规划范围</w:t>
            </w:r>
          </w:p>
        </w:tc>
        <w:tc>
          <w:tcPr>
            <w:tcW w:w="508"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新增高效节水灌溉（万亩）</w:t>
            </w:r>
          </w:p>
        </w:tc>
        <w:tc>
          <w:tcPr>
            <w:tcW w:w="50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镇（街道）</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村</w:t>
            </w:r>
          </w:p>
        </w:tc>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立石镇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艾大桥村、柏杨村、普照村、三溪村、天堂村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喻寺镇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陈沱村、古桥村、雷达村、齐心村、兴隆村、赵南村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刁河村、黄坭村、黄泥滩村、平安村、石鹅沟村、太阳村、玉石村、朱和村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2702" w:type="pct"/>
            <w:shd w:val="clear" w:color="auto" w:fill="auto"/>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潮河村、伏鱼村、桂凤村、红兴村、天堂坝村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奇峰镇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宝丰村、红木村、石城村、阳高村、渔庆村、玉田村、长林村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vMerge w:val="restar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玄滩镇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海罗村、劳动村、龙凤村、中心村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08"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毗卢镇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高楼湾村、莲花村、毛楼村、沙子坪村、雄峰村、中峰村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0.46</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潮河镇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红兴村、龙江村、唐寺村、王坪村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0.62</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兆雅镇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大石坪村、凤鸣村、古佛村、两河村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0.30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石桥镇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大王山村、吉祥村、新屋咀村、兴盛村、银朝村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0.28</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云锦镇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冯石村、龙井村、天台寺村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0.50</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太伏镇</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大坪子村、大山村、石龙井村、王坪村、张枣村</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0.63</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7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270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5.66</w:t>
            </w:r>
          </w:p>
        </w:tc>
        <w:tc>
          <w:tcPr>
            <w:tcW w:w="508"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bl>
    <w:p>
      <w:pPr>
        <w:ind w:firstLine="560"/>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br w:type="page"/>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附表5. 泸县2023—2032年高标准农田建设工程汇总表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50"/>
        <w:gridCol w:w="895"/>
        <w:gridCol w:w="1145"/>
        <w:gridCol w:w="1037"/>
        <w:gridCol w:w="1145"/>
        <w:gridCol w:w="1145"/>
        <w:gridCol w:w="945"/>
        <w:gridCol w:w="945"/>
        <w:gridCol w:w="945"/>
        <w:gridCol w:w="945"/>
        <w:gridCol w:w="945"/>
        <w:gridCol w:w="945"/>
        <w:gridCol w:w="9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4300" w:type="pct"/>
            <w:gridSpan w:val="1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工程量估算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70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单位</w:t>
            </w:r>
          </w:p>
        </w:tc>
        <w:tc>
          <w:tcPr>
            <w:tcW w:w="4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工程量汇总</w:t>
            </w:r>
          </w:p>
        </w:tc>
        <w:tc>
          <w:tcPr>
            <w:tcW w:w="37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2023年度</w:t>
            </w:r>
          </w:p>
        </w:tc>
        <w:tc>
          <w:tcPr>
            <w:tcW w:w="4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2024年度</w:t>
            </w:r>
          </w:p>
        </w:tc>
        <w:tc>
          <w:tcPr>
            <w:tcW w:w="4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2031年度</w:t>
            </w:r>
          </w:p>
        </w:tc>
        <w:tc>
          <w:tcPr>
            <w:tcW w:w="34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70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7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4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（一）土地平整</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385865.24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24120.24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60050.00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56700.00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42960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37968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40176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41136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34560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29430</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18765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1.田块调型</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385865.24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24120.24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60050.00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56700.00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42960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37968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40176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41136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34560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29430</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18765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（二）土壤改良</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801600.00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51000.00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120100.00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113400.00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89500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79100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83700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85700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72000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65400</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41700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1.地力提升</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801600.00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51000.00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120100.00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113400.00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89500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79100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83700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85700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72000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65400</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41700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（三）灌溉和排水</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1.整治山坪塘</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1209.00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79.00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149.00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172.00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126</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2.小型集雨设施</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382.80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22.00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122.80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41.00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3.提灌站</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4.渠道</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722.94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11.53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86.43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91.16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69.57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73.16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82.75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80.74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82.7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92.46</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52.44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4.高效节水灌溉</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亩</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56600.00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7300.00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6300.00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7400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6200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6300</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（四）田间道路</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1.机耕路</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788.37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53.47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92.10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97.80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79</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2.生产便道</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665.04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27.04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97.00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71</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（五）农田生态环境保护</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1.农业废弃物资源化利用及回收站</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254.00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341"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r>
    </w:tbl>
    <w:p>
      <w:pPr>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br w:type="page"/>
      </w:r>
    </w:p>
    <w:p>
      <w:pPr>
        <w:widowControl/>
        <w:adjustRightInd/>
        <w:spacing w:line="240" w:lineRule="auto"/>
        <w:ind w:firstLine="0" w:firstLineChars="0"/>
        <w:jc w:val="left"/>
        <w:textAlignment w:val="auto"/>
        <w:rPr>
          <w:rFonts w:hint="default" w:ascii="Times New Roman" w:hAnsi="Times New Roman" w:cs="Times New Roman"/>
          <w:bCs/>
          <w:color w:val="auto"/>
          <w:kern w:val="2"/>
          <w:szCs w:val="24"/>
          <w:highlight w:val="none"/>
        </w:r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续附表5. 泸县2023—2032年高标准农田建设工程汇总表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50"/>
        <w:gridCol w:w="895"/>
        <w:gridCol w:w="1145"/>
        <w:gridCol w:w="1037"/>
        <w:gridCol w:w="1145"/>
        <w:gridCol w:w="1145"/>
        <w:gridCol w:w="945"/>
        <w:gridCol w:w="945"/>
        <w:gridCol w:w="945"/>
        <w:gridCol w:w="945"/>
        <w:gridCol w:w="945"/>
        <w:gridCol w:w="945"/>
        <w:gridCol w:w="9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p>
        </w:tc>
        <w:tc>
          <w:tcPr>
            <w:tcW w:w="4300" w:type="pct"/>
            <w:gridSpan w:val="12"/>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工程量估算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70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单位</w:t>
            </w:r>
          </w:p>
        </w:tc>
        <w:tc>
          <w:tcPr>
            <w:tcW w:w="4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工程量汇总</w:t>
            </w:r>
          </w:p>
        </w:tc>
        <w:tc>
          <w:tcPr>
            <w:tcW w:w="372"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2023年度</w:t>
            </w:r>
          </w:p>
        </w:tc>
        <w:tc>
          <w:tcPr>
            <w:tcW w:w="4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2024年度</w:t>
            </w:r>
          </w:p>
        </w:tc>
        <w:tc>
          <w:tcPr>
            <w:tcW w:w="411"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2025年度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2026年度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2027年度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2028年度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2029年度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2030年度</w:t>
            </w:r>
          </w:p>
        </w:tc>
        <w:tc>
          <w:tcPr>
            <w:tcW w:w="339"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2031年度</w:t>
            </w:r>
          </w:p>
        </w:tc>
        <w:tc>
          <w:tcPr>
            <w:tcW w:w="340" w:type="pct"/>
            <w:vMerge w:val="restar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2032年度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70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2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72"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411"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39"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c>
          <w:tcPr>
            <w:tcW w:w="340" w:type="pct"/>
            <w:vMerge w:val="continue"/>
            <w:vAlign w:val="center"/>
          </w:tcPr>
          <w:p>
            <w:pPr>
              <w:widowControl/>
              <w:adjustRightInd/>
              <w:spacing w:line="240" w:lineRule="auto"/>
              <w:ind w:firstLine="0" w:firstLineChars="0"/>
              <w:jc w:val="left"/>
              <w:textAlignment w:val="auto"/>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（六）农田输配电</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1.10kv的高压线路</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61.40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6.80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1.低压输电线路</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公里</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60.60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1.20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6.80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7.80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7.2</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7.8</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2.变压器</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座</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3.配电箱（屏）</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310.00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13.00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34.00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39.00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（七）科技措施</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1.长期耕地质量监测点</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4.00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2.一次性耕地质量监测点</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个</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279.00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25.00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0" w:type="pct"/>
            <w:shd w:val="clear" w:color="auto" w:fill="auto"/>
            <w:vAlign w:val="bottom"/>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3.实用技术推广</w:t>
            </w:r>
          </w:p>
        </w:tc>
        <w:tc>
          <w:tcPr>
            <w:tcW w:w="32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人次</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8100.00 </w:t>
            </w:r>
          </w:p>
        </w:tc>
        <w:tc>
          <w:tcPr>
            <w:tcW w:w="372"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500.00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1000.00 </w:t>
            </w:r>
          </w:p>
        </w:tc>
        <w:tc>
          <w:tcPr>
            <w:tcW w:w="411" w:type="pct"/>
            <w:shd w:val="clear" w:color="auto" w:fill="auto"/>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1000.00 </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39"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340" w:type="pct"/>
            <w:shd w:val="clear" w:color="auto" w:fill="auto"/>
            <w:noWrap/>
            <w:vAlign w:val="center"/>
          </w:tcPr>
          <w:p>
            <w:pPr>
              <w:widowControl/>
              <w:adjustRightIn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r>
    </w:tbl>
    <w:p>
      <w:pPr>
        <w:pStyle w:val="2"/>
        <w:ind w:firstLine="420"/>
        <w:jc w:val="left"/>
        <w:rPr>
          <w:rFonts w:hint="default" w:ascii="Times New Roman" w:hAnsi="Times New Roman" w:eastAsia="楷体_GB2312" w:cs="Times New Roman"/>
          <w:bCs/>
          <w:color w:val="auto"/>
          <w:sz w:val="21"/>
          <w:szCs w:val="21"/>
          <w:highlight w:val="none"/>
        </w:rPr>
      </w:pPr>
      <w:r>
        <w:rPr>
          <w:rFonts w:hint="default" w:ascii="Times New Roman" w:hAnsi="Times New Roman" w:eastAsia="楷体_GB2312" w:cs="Times New Roman"/>
          <w:bCs/>
          <w:color w:val="auto"/>
          <w:sz w:val="21"/>
          <w:szCs w:val="21"/>
          <w:highlight w:val="none"/>
        </w:rPr>
        <w:t>备注：表中分项工程建设规模重点依据全县各镇的项目建设需求和实际情况进行规划。</w:t>
      </w:r>
    </w:p>
    <w:p>
      <w:pPr>
        <w:ind w:firstLine="0" w:firstLineChars="0"/>
        <w:jc w:val="center"/>
        <w:rPr>
          <w:rFonts w:hint="default" w:ascii="Times New Roman" w:hAnsi="Times New Roman" w:cs="Times New Roman"/>
          <w:bCs/>
          <w:color w:val="auto"/>
          <w:sz w:val="24"/>
          <w:szCs w:val="24"/>
          <w:highlight w:val="none"/>
        </w:rPr>
      </w:pPr>
    </w:p>
    <w:p>
      <w:pPr>
        <w:widowControl/>
        <w:adjustRightInd/>
        <w:spacing w:line="240" w:lineRule="auto"/>
        <w:ind w:firstLine="0" w:firstLineChars="0"/>
        <w:jc w:val="left"/>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br w:type="page"/>
      </w:r>
    </w:p>
    <w:p>
      <w:pPr>
        <w:pStyle w:val="2"/>
        <w:ind w:firstLine="600"/>
        <w:rPr>
          <w:rFonts w:hint="default" w:ascii="Times New Roman" w:hAnsi="Times New Roman" w:cs="Times New Roman"/>
          <w:bCs/>
          <w:color w:val="auto"/>
          <w:highlight w:val="none"/>
        </w:rPr>
        <w:sectPr>
          <w:pgSz w:w="16838" w:h="11905" w:orient="landscape"/>
          <w:pgMar w:top="1588" w:right="1418" w:bottom="1418" w:left="1701" w:header="851" w:footer="850" w:gutter="0"/>
          <w:cols w:space="425" w:num="1"/>
          <w:docGrid w:type="linesAndChars" w:linePitch="312" w:charSpace="0"/>
        </w:sectPr>
      </w:pPr>
    </w:p>
    <w:p>
      <w:pPr>
        <w:ind w:firstLine="880"/>
        <w:jc w:val="center"/>
        <w:rPr>
          <w:rFonts w:hint="default" w:ascii="Times New Roman" w:hAnsi="Times New Roman" w:eastAsia="黑体" w:cs="Times New Roman"/>
          <w:bCs/>
          <w:color w:val="auto"/>
          <w:sz w:val="44"/>
          <w:szCs w:val="28"/>
          <w:highlight w:val="none"/>
        </w:rPr>
      </w:pPr>
    </w:p>
    <w:p>
      <w:pPr>
        <w:ind w:firstLine="880"/>
        <w:jc w:val="center"/>
        <w:rPr>
          <w:rFonts w:hint="default" w:ascii="Times New Roman" w:hAnsi="Times New Roman" w:eastAsia="黑体" w:cs="Times New Roman"/>
          <w:bCs/>
          <w:color w:val="auto"/>
          <w:sz w:val="44"/>
          <w:szCs w:val="28"/>
          <w:highlight w:val="none"/>
        </w:rPr>
      </w:pPr>
      <w:r>
        <w:rPr>
          <w:rFonts w:hint="default" w:ascii="Times New Roman" w:hAnsi="Times New Roman" w:eastAsia="黑体" w:cs="Times New Roman"/>
          <w:bCs/>
          <w:color w:val="auto"/>
          <w:sz w:val="44"/>
          <w:szCs w:val="28"/>
          <w:highlight w:val="none"/>
        </w:rPr>
        <w:t>附  图</w:t>
      </w: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pPr>
    </w:p>
    <w:p>
      <w:pPr>
        <w:pStyle w:val="2"/>
        <w:ind w:firstLine="600"/>
        <w:rPr>
          <w:rFonts w:hint="default" w:ascii="Times New Roman" w:hAnsi="Times New Roman" w:cs="Times New Roman"/>
          <w:bCs/>
          <w:color w:val="auto"/>
          <w:highlight w:val="none"/>
        </w:rPr>
        <w:sectPr>
          <w:pgSz w:w="11905" w:h="16838"/>
          <w:pgMar w:top="1701" w:right="1588" w:bottom="1418" w:left="1418" w:header="851" w:footer="992" w:gutter="0"/>
          <w:cols w:space="425" w:num="1"/>
          <w:docGrid w:type="lines" w:linePitch="312" w:charSpace="0"/>
        </w:sect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附图1.泸县地理区位图</w:t>
      </w:r>
    </w:p>
    <w:p>
      <w:pPr>
        <w:pStyle w:val="2"/>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2313920" cy="8143875"/>
            <wp:effectExtent l="0" t="0" r="0" b="0"/>
            <wp:docPr id="1654849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49594" name="图片 4"/>
                    <pic:cNvPicPr>
                      <a:picLocks noChangeAspect="1"/>
                    </pic:cNvPicPr>
                  </pic:nvPicPr>
                  <pic:blipFill>
                    <a:blip r:embed="rId33" cstate="print">
                      <a:extLst>
                        <a:ext uri="{28A0092B-C50C-407E-A947-70E740481C1C}">
                          <a14:useLocalDpi xmlns:a14="http://schemas.microsoft.com/office/drawing/2010/main" val="0"/>
                        </a:ext>
                      </a:extLst>
                    </a:blip>
                    <a:srcRect t="6479"/>
                    <a:stretch>
                      <a:fillRect/>
                    </a:stretch>
                  </pic:blipFill>
                  <pic:spPr>
                    <a:xfrm>
                      <a:off x="0" y="0"/>
                      <a:ext cx="12339513" cy="8160734"/>
                    </a:xfrm>
                    <a:prstGeom prst="rect">
                      <a:avLst/>
                    </a:prstGeom>
                    <a:ln>
                      <a:noFill/>
                    </a:ln>
                  </pic:spPr>
                </pic:pic>
              </a:graphicData>
            </a:graphic>
          </wp:inline>
        </w:drawing>
      </w:r>
    </w:p>
    <w:tbl>
      <w:tblPr>
        <w:tblStyle w:val="44"/>
        <w:tblpPr w:leftFromText="180" w:rightFromText="180" w:vertAnchor="text" w:horzAnchor="margin" w:tblpY="819"/>
        <w:tblW w:w="21079" w:type="dxa"/>
        <w:tblInd w:w="0" w:type="dxa"/>
        <w:tblLayout w:type="autofit"/>
        <w:tblCellMar>
          <w:top w:w="0" w:type="dxa"/>
          <w:left w:w="108" w:type="dxa"/>
          <w:bottom w:w="0" w:type="dxa"/>
          <w:right w:w="108" w:type="dxa"/>
        </w:tblCellMar>
      </w:tblPr>
      <w:tblGrid>
        <w:gridCol w:w="10634"/>
        <w:gridCol w:w="10517"/>
      </w:tblGrid>
      <w:tr>
        <w:tblPrEx>
          <w:tblCellMar>
            <w:top w:w="0" w:type="dxa"/>
            <w:left w:w="108" w:type="dxa"/>
            <w:bottom w:w="0" w:type="dxa"/>
            <w:right w:w="108" w:type="dxa"/>
          </w:tblCellMar>
        </w:tblPrEx>
        <w:trPr>
          <w:trHeight w:val="11476" w:hRule="atLeast"/>
        </w:trPr>
        <w:tc>
          <w:tcPr>
            <w:tcW w:w="10562" w:type="dxa"/>
            <w:tcBorders>
              <w:top w:val="nil"/>
              <w:left w:val="nil"/>
              <w:bottom w:val="nil"/>
              <w:right w:val="nil"/>
            </w:tcBorders>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eastAsiaTheme="minorEastAsia"/>
                <w:bCs/>
                <w:color w:val="auto"/>
                <w:sz w:val="20"/>
                <w:szCs w:val="24"/>
                <w:highlight w:val="none"/>
              </w:rPr>
            </w:pPr>
            <w:r>
              <w:rPr>
                <w:rFonts w:hint="default" w:ascii="Times New Roman" w:hAnsi="Times New Roman" w:eastAsia="Times New Roman" w:cs="Times New Roman"/>
                <w:bCs/>
                <w:color w:val="auto"/>
                <w:sz w:val="20"/>
                <w:szCs w:val="24"/>
                <w:highlight w:val="none"/>
              </w:rPr>
              <w:drawing>
                <wp:inline distT="0" distB="0" distL="0" distR="0">
                  <wp:extent cx="6615430" cy="4535805"/>
                  <wp:effectExtent l="0" t="0" r="0" b="0"/>
                  <wp:docPr id="587063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6322" name="图片 5"/>
                          <pic:cNvPicPr>
                            <a:picLocks noChangeAspect="1"/>
                          </pic:cNvPicPr>
                        </pic:nvPicPr>
                        <pic:blipFill>
                          <a:blip r:embed="rId34" cstate="print">
                            <a:extLst>
                              <a:ext uri="{28A0092B-C50C-407E-A947-70E740481C1C}">
                                <a14:useLocalDpi xmlns:a14="http://schemas.microsoft.com/office/drawing/2010/main" val="0"/>
                              </a:ext>
                            </a:extLst>
                          </a:blip>
                          <a:srcRect l="1578" t="2866" r="3770" b="5412"/>
                          <a:stretch>
                            <a:fillRect/>
                          </a:stretch>
                        </pic:blipFill>
                        <pic:spPr>
                          <a:xfrm>
                            <a:off x="0" y="0"/>
                            <a:ext cx="6662027" cy="4568248"/>
                          </a:xfrm>
                          <a:prstGeom prst="rect">
                            <a:avLst/>
                          </a:prstGeom>
                          <a:ln>
                            <a:noFill/>
                          </a:ln>
                        </pic:spPr>
                      </pic:pic>
                    </a:graphicData>
                  </a:graphic>
                </wp:inline>
              </w:drawing>
            </w:r>
          </w:p>
          <w:p>
            <w:pPr>
              <w:pStyle w:val="2"/>
              <w:ind w:firstLine="4800" w:firstLineChars="1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泸县高程分布图</w:t>
            </w:r>
          </w:p>
        </w:tc>
        <w:tc>
          <w:tcPr>
            <w:tcW w:w="10517" w:type="dxa"/>
            <w:tcBorders>
              <w:top w:val="nil"/>
              <w:left w:val="nil"/>
              <w:bottom w:val="nil"/>
              <w:right w:val="nil"/>
            </w:tcBorders>
            <w:shd w:val="clear" w:color="auto" w:fill="auto"/>
            <w:noWrap/>
            <w:vAlign w:val="center"/>
          </w:tcPr>
          <w:p>
            <w:pPr>
              <w:widowControl/>
              <w:adjustRightInd/>
              <w:spacing w:line="240" w:lineRule="auto"/>
              <w:ind w:firstLine="0" w:firstLineChars="0"/>
              <w:jc w:val="left"/>
              <w:textAlignment w:val="auto"/>
              <w:rPr>
                <w:rFonts w:hint="default" w:ascii="Times New Roman" w:hAnsi="Times New Roman" w:cs="Times New Roman" w:eastAsiaTheme="minorEastAsia"/>
                <w:bCs/>
                <w:color w:val="auto"/>
                <w:sz w:val="20"/>
                <w:highlight w:val="none"/>
              </w:rPr>
            </w:pPr>
            <w:r>
              <w:rPr>
                <w:rFonts w:hint="default" w:ascii="Times New Roman" w:hAnsi="Times New Roman" w:eastAsia="Times New Roman" w:cs="Times New Roman"/>
                <w:bCs/>
                <w:color w:val="auto"/>
                <w:sz w:val="20"/>
                <w:highlight w:val="none"/>
              </w:rPr>
              <w:drawing>
                <wp:inline distT="0" distB="0" distL="0" distR="0">
                  <wp:extent cx="6491605" cy="4535805"/>
                  <wp:effectExtent l="0" t="0" r="4445" b="0"/>
                  <wp:docPr id="18946507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50713" name="图片 6"/>
                          <pic:cNvPicPr>
                            <a:picLocks noChangeAspect="1"/>
                          </pic:cNvPicPr>
                        </pic:nvPicPr>
                        <pic:blipFill>
                          <a:blip r:embed="rId35" cstate="print">
                            <a:extLst>
                              <a:ext uri="{28A0092B-C50C-407E-A947-70E740481C1C}">
                                <a14:useLocalDpi xmlns:a14="http://schemas.microsoft.com/office/drawing/2010/main" val="0"/>
                              </a:ext>
                            </a:extLst>
                          </a:blip>
                          <a:srcRect l="2535" t="3257" r="4133" b="4578"/>
                          <a:stretch>
                            <a:fillRect/>
                          </a:stretch>
                        </pic:blipFill>
                        <pic:spPr>
                          <a:xfrm>
                            <a:off x="0" y="0"/>
                            <a:ext cx="6546914" cy="4574758"/>
                          </a:xfrm>
                          <a:prstGeom prst="rect">
                            <a:avLst/>
                          </a:prstGeom>
                          <a:ln>
                            <a:noFill/>
                          </a:ln>
                        </pic:spPr>
                      </pic:pic>
                    </a:graphicData>
                  </a:graphic>
                </wp:inline>
              </w:drawing>
            </w:r>
          </w:p>
          <w:p>
            <w:pPr>
              <w:pStyle w:val="2"/>
              <w:ind w:firstLine="3600" w:firstLineChars="1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泸县坡度分布图</w:t>
            </w:r>
          </w:p>
        </w:tc>
      </w:tr>
    </w:tbl>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附图2.泸县地形分析图</w:t>
      </w:r>
    </w:p>
    <w:p>
      <w:pPr>
        <w:pStyle w:val="2"/>
        <w:ind w:firstLine="600"/>
        <w:rPr>
          <w:rFonts w:hint="default" w:ascii="Times New Roman" w:hAnsi="Times New Roman" w:cs="Times New Roman"/>
          <w:bCs/>
          <w:color w:val="auto"/>
          <w:highlight w:val="none"/>
        </w:rPr>
      </w:pPr>
    </w:p>
    <w:p>
      <w:pPr>
        <w:ind w:firstLine="600"/>
        <w:jc w:val="center"/>
        <w:rPr>
          <w:rFonts w:hint="default" w:ascii="Times New Roman" w:hAnsi="Times New Roman" w:cs="Times New Roman"/>
          <w:bCs/>
          <w:color w:val="auto"/>
          <w:highlight w:val="none"/>
        </w:rPr>
      </w:pP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附图3.泸县耕地现状分布图</w:t>
      </w: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560810" cy="8146415"/>
            <wp:effectExtent l="0" t="0" r="2540" b="6985"/>
            <wp:docPr id="3679774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77464" name="图片 7"/>
                    <pic:cNvPicPr>
                      <a:picLocks noChangeAspect="1"/>
                    </pic:cNvPicPr>
                  </pic:nvPicPr>
                  <pic:blipFill>
                    <a:blip r:embed="rId36" cstate="print">
                      <a:extLst>
                        <a:ext uri="{28A0092B-C50C-407E-A947-70E740481C1C}">
                          <a14:useLocalDpi xmlns:a14="http://schemas.microsoft.com/office/drawing/2010/main" val="0"/>
                        </a:ext>
                      </a:extLst>
                    </a:blip>
                    <a:srcRect l="1907" t="2191" r="2792" b="2911"/>
                    <a:stretch>
                      <a:fillRect/>
                    </a:stretch>
                  </pic:blipFill>
                  <pic:spPr>
                    <a:xfrm>
                      <a:off x="0" y="0"/>
                      <a:ext cx="11584468" cy="8162773"/>
                    </a:xfrm>
                    <a:prstGeom prst="rect">
                      <a:avLst/>
                    </a:prstGeom>
                    <a:ln>
                      <a:noFill/>
                    </a:ln>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附图4. 泸县永久基本农田分布图</w:t>
      </w: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765280" cy="8265160"/>
            <wp:effectExtent l="0" t="0" r="7620" b="2540"/>
            <wp:docPr id="19266869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86981" name="图片 8"/>
                    <pic:cNvPicPr>
                      <a:picLocks noChangeAspect="1"/>
                    </pic:cNvPicPr>
                  </pic:nvPicPr>
                  <pic:blipFill>
                    <a:blip r:embed="rId37" cstate="print">
                      <a:extLst>
                        <a:ext uri="{28A0092B-C50C-407E-A947-70E740481C1C}">
                          <a14:useLocalDpi xmlns:a14="http://schemas.microsoft.com/office/drawing/2010/main" val="0"/>
                        </a:ext>
                      </a:extLst>
                    </a:blip>
                    <a:srcRect l="945" t="1716" r="1115" b="1055"/>
                    <a:stretch>
                      <a:fillRect/>
                    </a:stretch>
                  </pic:blipFill>
                  <pic:spPr>
                    <a:xfrm>
                      <a:off x="0" y="0"/>
                      <a:ext cx="11798841" cy="8288442"/>
                    </a:xfrm>
                    <a:prstGeom prst="rect">
                      <a:avLst/>
                    </a:prstGeom>
                    <a:ln>
                      <a:noFill/>
                    </a:ln>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附图5 2011—2022年已建高标准农田分布图</w:t>
      </w: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740515" cy="8300720"/>
            <wp:effectExtent l="0" t="0" r="0" b="5080"/>
            <wp:docPr id="14369158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15831" name="图片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1770993" cy="8322130"/>
                    </a:xfrm>
                    <a:prstGeom prst="rect">
                      <a:avLst/>
                    </a:prstGeom>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附图6.泸县未建高标准农田（永久基本农田内）分布图</w:t>
      </w:r>
    </w:p>
    <w:p>
      <w:pPr>
        <w:pStyle w:val="2"/>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996420" cy="8098790"/>
            <wp:effectExtent l="0" t="0" r="5080" b="0"/>
            <wp:docPr id="6298765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76574" name="图片 7"/>
                    <pic:cNvPicPr>
                      <a:picLocks noChangeAspect="1"/>
                    </pic:cNvPicPr>
                  </pic:nvPicPr>
                  <pic:blipFill>
                    <a:blip r:embed="rId39" cstate="print">
                      <a:extLst>
                        <a:ext uri="{28A0092B-C50C-407E-A947-70E740481C1C}">
                          <a14:useLocalDpi xmlns:a14="http://schemas.microsoft.com/office/drawing/2010/main" val="0"/>
                        </a:ext>
                      </a:extLst>
                    </a:blip>
                    <a:srcRect t="2191" b="2405"/>
                    <a:stretch>
                      <a:fillRect/>
                    </a:stretch>
                  </pic:blipFill>
                  <pic:spPr>
                    <a:xfrm>
                      <a:off x="0" y="0"/>
                      <a:ext cx="12027528" cy="8119729"/>
                    </a:xfrm>
                    <a:prstGeom prst="rect">
                      <a:avLst/>
                    </a:prstGeom>
                    <a:ln>
                      <a:noFill/>
                    </a:ln>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附图7.泸县2023—2032年高标准农田建设分区图</w:t>
      </w:r>
    </w:p>
    <w:p>
      <w:pPr>
        <w:pStyle w:val="2"/>
        <w:ind w:firstLine="6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2987655" cy="8265160"/>
            <wp:effectExtent l="0" t="0" r="4445" b="2540"/>
            <wp:docPr id="20915516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51681" name="图片 9"/>
                    <pic:cNvPicPr>
                      <a:picLocks noChangeAspect="1"/>
                    </pic:cNvPicPr>
                  </pic:nvPicPr>
                  <pic:blipFill>
                    <a:blip r:embed="rId40" cstate="print">
                      <a:extLst>
                        <a:ext uri="{28A0092B-C50C-407E-A947-70E740481C1C}">
                          <a14:useLocalDpi xmlns:a14="http://schemas.microsoft.com/office/drawing/2010/main" val="0"/>
                        </a:ext>
                      </a:extLst>
                    </a:blip>
                    <a:srcRect t="3371" b="6619"/>
                    <a:stretch>
                      <a:fillRect/>
                    </a:stretch>
                  </pic:blipFill>
                  <pic:spPr>
                    <a:xfrm>
                      <a:off x="0" y="0"/>
                      <a:ext cx="13020402" cy="8285805"/>
                    </a:xfrm>
                    <a:prstGeom prst="rect">
                      <a:avLst/>
                    </a:prstGeom>
                    <a:ln>
                      <a:noFill/>
                    </a:ln>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附图8.2023—2032年泸县新建高标准农田建设规划图</w:t>
      </w: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661140" cy="8248015"/>
            <wp:effectExtent l="0" t="0" r="0" b="635"/>
            <wp:docPr id="1123347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47862"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73251" cy="8256441"/>
                    </a:xfrm>
                    <a:prstGeom prst="rect">
                      <a:avLst/>
                    </a:prstGeom>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附图9.2023—2032年泸县改造提升高标准农田建设规划图</w:t>
      </w: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649710" cy="8239760"/>
            <wp:effectExtent l="0" t="0" r="8890" b="8890"/>
            <wp:docPr id="12300649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64939" name="图片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660242" cy="8247241"/>
                    </a:xfrm>
                    <a:prstGeom prst="rect">
                      <a:avLst/>
                    </a:prstGeom>
                  </pic:spPr>
                </pic:pic>
              </a:graphicData>
            </a:graphic>
          </wp:inline>
        </w:drawing>
      </w:r>
    </w:p>
    <w:p>
      <w:pPr>
        <w:pStyle w:val="2"/>
        <w:spacing w:after="60"/>
        <w:ind w:firstLine="0" w:firstLineChars="0"/>
        <w:jc w:val="center"/>
        <w:rPr>
          <w:rFonts w:hint="default" w:ascii="Times New Roman" w:hAnsi="Times New Roman" w:cs="Times New Roman"/>
          <w:bCs/>
          <w:color w:val="auto"/>
          <w:sz w:val="28"/>
          <w:szCs w:val="28"/>
          <w:highlight w:val="none"/>
        </w:rPr>
      </w:pPr>
      <w:r>
        <w:rPr>
          <w:rFonts w:hint="default" w:ascii="Times New Roman" w:hAnsi="Times New Roman" w:cs="Times New Roman"/>
          <w:bCs/>
          <w:color w:val="auto"/>
          <w:sz w:val="28"/>
          <w:szCs w:val="28"/>
          <w:highlight w:val="none"/>
        </w:rPr>
        <w:t>附图10. 2023—2032年泸县新建高效节水灌溉建设规划图</w:t>
      </w:r>
    </w:p>
    <w:p>
      <w:pPr>
        <w:pStyle w:val="2"/>
        <w:ind w:firstLine="60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drawing>
          <wp:inline distT="0" distB="0" distL="0" distR="0">
            <wp:extent cx="11739245" cy="8303260"/>
            <wp:effectExtent l="0" t="0" r="0" b="2540"/>
            <wp:docPr id="1502723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23599" name="图片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41656" cy="8304824"/>
                    </a:xfrm>
                    <a:prstGeom prst="rect">
                      <a:avLst/>
                    </a:prstGeom>
                  </pic:spPr>
                </pic:pic>
              </a:graphicData>
            </a:graphic>
          </wp:inline>
        </w:drawing>
      </w:r>
    </w:p>
    <w:sectPr>
      <w:pgSz w:w="23808" w:h="16840" w:orient="landscape"/>
      <w:pgMar w:top="1418" w:right="1701" w:bottom="1588"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宋体-方正超大字符集">
    <w:altName w:val="宋体"/>
    <w:panose1 w:val="00000000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方正仿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6104945"/>
    </w:sdtPr>
    <w:sdtContent>
      <w:p>
        <w:pPr>
          <w:pStyle w:val="27"/>
          <w:ind w:firstLine="360"/>
          <w:jc w:val="center"/>
        </w:pPr>
        <w:r>
          <w:fldChar w:fldCharType="begin"/>
        </w:r>
        <w:r>
          <w:instrText xml:space="preserve">PAGE   \* MERGEFORMAT</w:instrText>
        </w:r>
        <w:r>
          <w:fldChar w:fldCharType="separate"/>
        </w:r>
        <w:r>
          <w:rPr>
            <w:lang w:val="zh-CN"/>
          </w:rPr>
          <w:t>1</w:t>
        </w:r>
        <w:r>
          <w:rPr>
            <w:lang w:val="zh-CN"/>
          </w:rPr>
          <w:fldChar w:fldCharType="end"/>
        </w:r>
      </w:p>
    </w:sdtContent>
  </w:sdt>
  <w:p>
    <w:pPr>
      <w:pStyle w:val="27"/>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7190405"/>
    </w:sdtPr>
    <w:sdtContent>
      <w:p>
        <w:pPr>
          <w:pStyle w:val="27"/>
          <w:ind w:firstLine="360"/>
          <w:jc w:val="center"/>
        </w:pPr>
        <w:r>
          <w:fldChar w:fldCharType="begin"/>
        </w:r>
        <w:r>
          <w:instrText xml:space="preserve">PAGE   \* MERGEFORMAT</w:instrText>
        </w:r>
        <w:r>
          <w:fldChar w:fldCharType="separate"/>
        </w:r>
        <w:r>
          <w:rPr>
            <w:lang w:val="zh-CN"/>
          </w:rPr>
          <w:t>24</w:t>
        </w:r>
        <w:r>
          <w:rPr>
            <w:lang w:val="zh-CN"/>
          </w:rPr>
          <w:fldChar w:fldCharType="end"/>
        </w:r>
      </w:p>
    </w:sdtContent>
  </w:sdt>
  <w:p>
    <w:pPr>
      <w:pStyle w:val="27"/>
      <w:ind w:firstLine="560"/>
      <w:rPr>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4769288"/>
    </w:sdtPr>
    <w:sdtContent>
      <w:p>
        <w:pPr>
          <w:pStyle w:val="27"/>
          <w:ind w:firstLine="360"/>
          <w:jc w:val="center"/>
        </w:pPr>
        <w:r>
          <w:fldChar w:fldCharType="begin"/>
        </w:r>
        <w:r>
          <w:instrText xml:space="preserve">PAGE   \* MERGEFORMAT</w:instrText>
        </w:r>
        <w:r>
          <w:fldChar w:fldCharType="separate"/>
        </w:r>
        <w:r>
          <w:rPr>
            <w:lang w:val="zh-CN"/>
          </w:rPr>
          <w:t>99</w:t>
        </w:r>
        <w:r>
          <w:rPr>
            <w:lang w:val="zh-CN"/>
          </w:rPr>
          <w:fldChar w:fldCharType="end"/>
        </w:r>
      </w:p>
    </w:sdtContent>
  </w:sdt>
  <w:p>
    <w:pPr>
      <w:pStyle w:val="27"/>
      <w:ind w:firstLine="560"/>
      <w:rPr>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694"/>
    </w:sdtPr>
    <w:sdtContent>
      <w:p>
        <w:pPr>
          <w:pStyle w:val="27"/>
          <w:ind w:firstLine="360"/>
          <w:jc w:val="center"/>
        </w:pPr>
        <w:r>
          <w:fldChar w:fldCharType="begin"/>
        </w:r>
        <w:r>
          <w:instrText xml:space="preserve">PAGE   \* MERGEFORMAT</w:instrText>
        </w:r>
        <w:r>
          <w:fldChar w:fldCharType="separate"/>
        </w:r>
        <w:r>
          <w:rPr>
            <w:lang w:val="zh-CN"/>
          </w:rPr>
          <w:t>99</w:t>
        </w:r>
        <w:r>
          <w:rPr>
            <w:lang w:val="zh-CN"/>
          </w:rPr>
          <w:fldChar w:fldCharType="end"/>
        </w:r>
      </w:p>
    </w:sdtContent>
  </w:sdt>
  <w:p>
    <w:pPr>
      <w:pStyle w:val="27"/>
      <w:ind w:firstLine="560"/>
      <w:rPr>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2723156"/>
    </w:sdtPr>
    <w:sdtContent>
      <w:p>
        <w:pPr>
          <w:pStyle w:val="27"/>
          <w:ind w:firstLine="360"/>
          <w:jc w:val="center"/>
        </w:pPr>
        <w:r>
          <w:fldChar w:fldCharType="begin"/>
        </w:r>
        <w:r>
          <w:instrText xml:space="preserve">PAGE   \* MERGEFORMAT</w:instrText>
        </w:r>
        <w:r>
          <w:fldChar w:fldCharType="separate"/>
        </w:r>
        <w:r>
          <w:rPr>
            <w:lang w:val="zh-CN"/>
          </w:rPr>
          <w:t>99</w:t>
        </w:r>
        <w:r>
          <w:rPr>
            <w:lang w:val="zh-CN"/>
          </w:rPr>
          <w:fldChar w:fldCharType="end"/>
        </w:r>
      </w:p>
    </w:sdtContent>
  </w:sdt>
  <w:p>
    <w:pPr>
      <w:pStyle w:val="27"/>
      <w:ind w:firstLine="56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ind w:firstLine="360"/>
      <w:rPr>
        <w:rStyle w:val="49"/>
      </w:rPr>
    </w:pPr>
    <w:r>
      <w:fldChar w:fldCharType="begin"/>
    </w:r>
    <w:r>
      <w:rPr>
        <w:rStyle w:val="49"/>
      </w:rPr>
      <w:instrText xml:space="preserve">PAGE  </w:instrText>
    </w:r>
    <w:r>
      <w:fldChar w:fldCharType="separate"/>
    </w:r>
    <w:r>
      <w:rPr>
        <w:rStyle w:val="49"/>
      </w:rPr>
      <w:t>1</w:t>
    </w:r>
    <w:r>
      <w:fldChar w:fldCharType="end"/>
    </w:r>
  </w:p>
  <w:p>
    <w:pPr>
      <w:pStyle w:val="2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7313131"/>
    </w:sdtPr>
    <w:sdtContent>
      <w:p>
        <w:pPr>
          <w:pStyle w:val="27"/>
          <w:ind w:firstLine="360"/>
          <w:jc w:val="center"/>
        </w:pPr>
        <w:r>
          <w:fldChar w:fldCharType="begin"/>
        </w:r>
        <w:r>
          <w:instrText xml:space="preserve">PAGE   \* MERGEFORMAT</w:instrText>
        </w:r>
        <w:r>
          <w:fldChar w:fldCharType="separate"/>
        </w:r>
        <w:r>
          <w:rPr>
            <w:lang w:val="zh-CN"/>
          </w:rPr>
          <w:t>III</w:t>
        </w:r>
        <w:r>
          <w:rPr>
            <w:lang w:val="zh-CN"/>
          </w:rPr>
          <w:fldChar w:fldCharType="end"/>
        </w:r>
      </w:p>
    </w:sdtContent>
  </w:sdt>
  <w:p>
    <w:pPr>
      <w:pStyle w:val="27"/>
      <w:ind w:firstLine="560"/>
      <w:rPr>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ind w:firstLine="360"/>
      <w:rPr>
        <w:rStyle w:val="49"/>
      </w:rPr>
    </w:pPr>
    <w:r>
      <w:fldChar w:fldCharType="begin"/>
    </w:r>
    <w:r>
      <w:rPr>
        <w:rStyle w:val="49"/>
      </w:rPr>
      <w:instrText xml:space="preserve">PAGE  </w:instrText>
    </w:r>
    <w:r>
      <w:fldChar w:fldCharType="separate"/>
    </w:r>
    <w:r>
      <w:rPr>
        <w:rStyle w:val="49"/>
      </w:rPr>
      <w:t>1</w:t>
    </w:r>
    <w:r>
      <w:fldChar w:fldCharType="end"/>
    </w:r>
  </w:p>
  <w:p>
    <w:pPr>
      <w:pStyle w:val="27"/>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5825054"/>
    </w:sdtPr>
    <w:sdtContent>
      <w:p>
        <w:pPr>
          <w:pStyle w:val="27"/>
          <w:ind w:firstLine="360"/>
          <w:jc w:val="center"/>
        </w:pPr>
        <w:r>
          <w:fldChar w:fldCharType="begin"/>
        </w:r>
        <w:r>
          <w:instrText xml:space="preserve">PAGE   \* MERGEFORMAT</w:instrText>
        </w:r>
        <w:r>
          <w:fldChar w:fldCharType="separate"/>
        </w:r>
        <w:r>
          <w:rPr>
            <w:lang w:val="zh-CN"/>
          </w:rPr>
          <w:t>7</w:t>
        </w:r>
        <w:r>
          <w:rPr>
            <w:lang w:val="zh-CN"/>
          </w:rPr>
          <w:fldChar w:fldCharType="end"/>
        </w:r>
      </w:p>
    </w:sdtContent>
  </w:sdt>
  <w:p>
    <w:pPr>
      <w:pStyle w:val="27"/>
      <w:ind w:firstLine="56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B666F4"/>
    <w:multiLevelType w:val="multilevel"/>
    <w:tmpl w:val="43B666F4"/>
    <w:lvl w:ilvl="0" w:tentative="0">
      <w:start w:val="1"/>
      <w:numFmt w:val="decimal"/>
      <w:pStyle w:val="274"/>
      <w:lvlText w:val="%1、"/>
      <w:lvlJc w:val="left"/>
      <w:pPr>
        <w:ind w:left="1324" w:hanging="720"/>
      </w:pPr>
      <w:rPr>
        <w:rFonts w:hint="default"/>
      </w:rPr>
    </w:lvl>
    <w:lvl w:ilvl="1" w:tentative="0">
      <w:start w:val="1"/>
      <w:numFmt w:val="lowerLetter"/>
      <w:lvlText w:val="%2)"/>
      <w:lvlJc w:val="left"/>
      <w:pPr>
        <w:ind w:left="1444" w:hanging="420"/>
      </w:pPr>
    </w:lvl>
    <w:lvl w:ilvl="2" w:tentative="0">
      <w:start w:val="1"/>
      <w:numFmt w:val="lowerRoman"/>
      <w:lvlText w:val="%3."/>
      <w:lvlJc w:val="right"/>
      <w:pPr>
        <w:ind w:left="1864" w:hanging="420"/>
      </w:pPr>
    </w:lvl>
    <w:lvl w:ilvl="3" w:tentative="0">
      <w:start w:val="1"/>
      <w:numFmt w:val="decimal"/>
      <w:lvlText w:val="%4."/>
      <w:lvlJc w:val="left"/>
      <w:pPr>
        <w:ind w:left="2284" w:hanging="420"/>
      </w:pPr>
    </w:lvl>
    <w:lvl w:ilvl="4" w:tentative="0">
      <w:start w:val="1"/>
      <w:numFmt w:val="lowerLetter"/>
      <w:lvlText w:val="%5)"/>
      <w:lvlJc w:val="left"/>
      <w:pPr>
        <w:ind w:left="2704" w:hanging="420"/>
      </w:pPr>
    </w:lvl>
    <w:lvl w:ilvl="5" w:tentative="0">
      <w:start w:val="1"/>
      <w:numFmt w:val="lowerRoman"/>
      <w:lvlText w:val="%6."/>
      <w:lvlJc w:val="right"/>
      <w:pPr>
        <w:ind w:left="3124" w:hanging="420"/>
      </w:pPr>
    </w:lvl>
    <w:lvl w:ilvl="6" w:tentative="0">
      <w:start w:val="1"/>
      <w:numFmt w:val="decimal"/>
      <w:lvlText w:val="%7."/>
      <w:lvlJc w:val="left"/>
      <w:pPr>
        <w:ind w:left="3544" w:hanging="420"/>
      </w:pPr>
    </w:lvl>
    <w:lvl w:ilvl="7" w:tentative="0">
      <w:start w:val="1"/>
      <w:numFmt w:val="lowerLetter"/>
      <w:lvlText w:val="%8)"/>
      <w:lvlJc w:val="left"/>
      <w:pPr>
        <w:ind w:left="3964" w:hanging="420"/>
      </w:pPr>
    </w:lvl>
    <w:lvl w:ilvl="8" w:tentative="0">
      <w:start w:val="1"/>
      <w:numFmt w:val="lowerRoman"/>
      <w:lvlText w:val="%9."/>
      <w:lvlJc w:val="right"/>
      <w:pPr>
        <w:ind w:left="4384" w:hanging="420"/>
      </w:pPr>
    </w:lvl>
  </w:abstractNum>
  <w:abstractNum w:abstractNumId="1">
    <w:nsid w:val="79324BA1"/>
    <w:multiLevelType w:val="multilevel"/>
    <w:tmpl w:val="79324BA1"/>
    <w:lvl w:ilvl="0" w:tentative="0">
      <w:start w:val="1"/>
      <w:numFmt w:val="decimal"/>
      <w:lvlText w:val="第%1章"/>
      <w:lvlJc w:val="left"/>
      <w:pPr>
        <w:tabs>
          <w:tab w:val="left" w:pos="1708"/>
        </w:tabs>
        <w:ind w:left="170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pStyle w:val="265"/>
      <w:lvlText w:val="%1.%2"/>
      <w:lvlJc w:val="left"/>
      <w:pPr>
        <w:tabs>
          <w:tab w:val="left" w:pos="1852"/>
        </w:tabs>
        <w:ind w:left="1852" w:hanging="576"/>
      </w:pPr>
      <w:rPr>
        <w:rFonts w:hint="eastAsia"/>
      </w:rPr>
    </w:lvl>
    <w:lvl w:ilvl="2" w:tentative="0">
      <w:start w:val="1"/>
      <w:numFmt w:val="decimal"/>
      <w:pStyle w:val="262"/>
      <w:lvlText w:val="%1.%2.%3"/>
      <w:lvlJc w:val="left"/>
      <w:pPr>
        <w:tabs>
          <w:tab w:val="left" w:pos="1996"/>
        </w:tabs>
        <w:ind w:left="1996"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2284"/>
        </w:tabs>
        <w:ind w:left="2284" w:hanging="1008"/>
      </w:pPr>
      <w:rPr>
        <w:rFonts w:hint="eastAsia"/>
      </w:rPr>
    </w:lvl>
    <w:lvl w:ilvl="5" w:tentative="0">
      <w:start w:val="1"/>
      <w:numFmt w:val="decimal"/>
      <w:pStyle w:val="8"/>
      <w:lvlText w:val="%1.%2.%3.%4.%5.%6"/>
      <w:lvlJc w:val="left"/>
      <w:pPr>
        <w:tabs>
          <w:tab w:val="left" w:pos="2428"/>
        </w:tabs>
        <w:ind w:left="2428" w:hanging="1152"/>
      </w:pPr>
      <w:rPr>
        <w:rFonts w:hint="eastAsia"/>
      </w:rPr>
    </w:lvl>
    <w:lvl w:ilvl="6" w:tentative="0">
      <w:start w:val="1"/>
      <w:numFmt w:val="decimal"/>
      <w:pStyle w:val="9"/>
      <w:lvlText w:val="%1.%2.%3.%4.%5.%6.%7"/>
      <w:lvlJc w:val="left"/>
      <w:pPr>
        <w:tabs>
          <w:tab w:val="left" w:pos="2572"/>
        </w:tabs>
        <w:ind w:left="2572" w:hanging="1296"/>
      </w:pPr>
      <w:rPr>
        <w:rFonts w:hint="eastAsia"/>
      </w:rPr>
    </w:lvl>
    <w:lvl w:ilvl="7" w:tentative="0">
      <w:start w:val="1"/>
      <w:numFmt w:val="decimal"/>
      <w:pStyle w:val="10"/>
      <w:lvlText w:val="%1.%2.%3.%4.%5.%6.%7.%8"/>
      <w:lvlJc w:val="left"/>
      <w:pPr>
        <w:tabs>
          <w:tab w:val="left" w:pos="2716"/>
        </w:tabs>
        <w:ind w:left="2716" w:hanging="1440"/>
      </w:pPr>
      <w:rPr>
        <w:rFonts w:hint="eastAsia"/>
      </w:rPr>
    </w:lvl>
    <w:lvl w:ilvl="8" w:tentative="0">
      <w:start w:val="1"/>
      <w:numFmt w:val="decimal"/>
      <w:pStyle w:val="11"/>
      <w:lvlText w:val="%1.%2.%3.%4.%5.%6.%7.%8.%9"/>
      <w:lvlJc w:val="left"/>
      <w:pPr>
        <w:tabs>
          <w:tab w:val="left" w:pos="2860"/>
        </w:tabs>
        <w:ind w:left="2860"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HorizontalSpacing w:val="161"/>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0tDSztLSwNDI1tTRX0lEKTi0uzszPAykwqgUAB7ZacSwAAAA="/>
    <w:docVar w:name="commondata" w:val="eyJoZGlkIjoiODhkMzI2NjFhODRhMGRmMjQ5OGJmNzk3NzdmNjFiODcifQ=="/>
  </w:docVars>
  <w:rsids>
    <w:rsidRoot w:val="00D46078"/>
    <w:rsid w:val="0000125E"/>
    <w:rsid w:val="00006EFE"/>
    <w:rsid w:val="000072DF"/>
    <w:rsid w:val="00007FEF"/>
    <w:rsid w:val="00012073"/>
    <w:rsid w:val="00012116"/>
    <w:rsid w:val="000147E6"/>
    <w:rsid w:val="00017044"/>
    <w:rsid w:val="000177CF"/>
    <w:rsid w:val="00017B6E"/>
    <w:rsid w:val="00017E8A"/>
    <w:rsid w:val="00020AD7"/>
    <w:rsid w:val="00022704"/>
    <w:rsid w:val="0002462F"/>
    <w:rsid w:val="00026180"/>
    <w:rsid w:val="00026BDC"/>
    <w:rsid w:val="00026DFA"/>
    <w:rsid w:val="00027E87"/>
    <w:rsid w:val="00030492"/>
    <w:rsid w:val="00030B32"/>
    <w:rsid w:val="00032E75"/>
    <w:rsid w:val="00033613"/>
    <w:rsid w:val="00034321"/>
    <w:rsid w:val="000356D4"/>
    <w:rsid w:val="00037817"/>
    <w:rsid w:val="000400B1"/>
    <w:rsid w:val="00043B57"/>
    <w:rsid w:val="00043B5E"/>
    <w:rsid w:val="00044EBC"/>
    <w:rsid w:val="00045355"/>
    <w:rsid w:val="000468BF"/>
    <w:rsid w:val="00046F72"/>
    <w:rsid w:val="00047317"/>
    <w:rsid w:val="00047F21"/>
    <w:rsid w:val="00050BF6"/>
    <w:rsid w:val="00052031"/>
    <w:rsid w:val="00052ADA"/>
    <w:rsid w:val="00054704"/>
    <w:rsid w:val="000579D2"/>
    <w:rsid w:val="000626E0"/>
    <w:rsid w:val="0006708F"/>
    <w:rsid w:val="000675CA"/>
    <w:rsid w:val="00067610"/>
    <w:rsid w:val="0006762B"/>
    <w:rsid w:val="00067923"/>
    <w:rsid w:val="00072FAF"/>
    <w:rsid w:val="000735C6"/>
    <w:rsid w:val="0007542F"/>
    <w:rsid w:val="00077BEA"/>
    <w:rsid w:val="00080AA7"/>
    <w:rsid w:val="00081B0E"/>
    <w:rsid w:val="00081BB8"/>
    <w:rsid w:val="0008361C"/>
    <w:rsid w:val="0008428B"/>
    <w:rsid w:val="000866B1"/>
    <w:rsid w:val="00091D89"/>
    <w:rsid w:val="000920F9"/>
    <w:rsid w:val="00092AF4"/>
    <w:rsid w:val="00092FBF"/>
    <w:rsid w:val="0009481F"/>
    <w:rsid w:val="00096852"/>
    <w:rsid w:val="00096F70"/>
    <w:rsid w:val="000A1E32"/>
    <w:rsid w:val="000A2BAB"/>
    <w:rsid w:val="000A2EB9"/>
    <w:rsid w:val="000A3E94"/>
    <w:rsid w:val="000B05A4"/>
    <w:rsid w:val="000B0849"/>
    <w:rsid w:val="000B23BE"/>
    <w:rsid w:val="000B283D"/>
    <w:rsid w:val="000B2E56"/>
    <w:rsid w:val="000B3ED3"/>
    <w:rsid w:val="000B512D"/>
    <w:rsid w:val="000B547A"/>
    <w:rsid w:val="000B5E72"/>
    <w:rsid w:val="000C09E6"/>
    <w:rsid w:val="000C27ED"/>
    <w:rsid w:val="000C48A7"/>
    <w:rsid w:val="000C4A3D"/>
    <w:rsid w:val="000C6E18"/>
    <w:rsid w:val="000C7A32"/>
    <w:rsid w:val="000D04EF"/>
    <w:rsid w:val="000D383A"/>
    <w:rsid w:val="000D69E9"/>
    <w:rsid w:val="000D75DA"/>
    <w:rsid w:val="000E0709"/>
    <w:rsid w:val="000E191D"/>
    <w:rsid w:val="000E2E63"/>
    <w:rsid w:val="000E3292"/>
    <w:rsid w:val="000E3807"/>
    <w:rsid w:val="000E3FDE"/>
    <w:rsid w:val="000E522F"/>
    <w:rsid w:val="000E69BB"/>
    <w:rsid w:val="000F0807"/>
    <w:rsid w:val="000F5B99"/>
    <w:rsid w:val="000F61B8"/>
    <w:rsid w:val="000F6FEB"/>
    <w:rsid w:val="00100CCA"/>
    <w:rsid w:val="00101887"/>
    <w:rsid w:val="00102E49"/>
    <w:rsid w:val="0010356C"/>
    <w:rsid w:val="00103603"/>
    <w:rsid w:val="00103FFD"/>
    <w:rsid w:val="0011036A"/>
    <w:rsid w:val="00110DC5"/>
    <w:rsid w:val="001124EE"/>
    <w:rsid w:val="001133B5"/>
    <w:rsid w:val="00113CB0"/>
    <w:rsid w:val="00113E68"/>
    <w:rsid w:val="00115316"/>
    <w:rsid w:val="00116299"/>
    <w:rsid w:val="00117364"/>
    <w:rsid w:val="001177AE"/>
    <w:rsid w:val="00120CB4"/>
    <w:rsid w:val="0012230D"/>
    <w:rsid w:val="001230B1"/>
    <w:rsid w:val="001250CD"/>
    <w:rsid w:val="001328F9"/>
    <w:rsid w:val="00133210"/>
    <w:rsid w:val="00133C10"/>
    <w:rsid w:val="0013477E"/>
    <w:rsid w:val="0013502D"/>
    <w:rsid w:val="00135ABE"/>
    <w:rsid w:val="00135AFB"/>
    <w:rsid w:val="00135F6E"/>
    <w:rsid w:val="001367DB"/>
    <w:rsid w:val="00140010"/>
    <w:rsid w:val="0014297B"/>
    <w:rsid w:val="00142F0A"/>
    <w:rsid w:val="001433DB"/>
    <w:rsid w:val="001435BD"/>
    <w:rsid w:val="00143AE7"/>
    <w:rsid w:val="00143ECE"/>
    <w:rsid w:val="001442FB"/>
    <w:rsid w:val="00144A54"/>
    <w:rsid w:val="00146F49"/>
    <w:rsid w:val="0014726D"/>
    <w:rsid w:val="0015152E"/>
    <w:rsid w:val="00151678"/>
    <w:rsid w:val="001518E6"/>
    <w:rsid w:val="00161ABA"/>
    <w:rsid w:val="001625C4"/>
    <w:rsid w:val="001631C3"/>
    <w:rsid w:val="001633C3"/>
    <w:rsid w:val="00166CEE"/>
    <w:rsid w:val="00167510"/>
    <w:rsid w:val="00170228"/>
    <w:rsid w:val="00170955"/>
    <w:rsid w:val="00171B23"/>
    <w:rsid w:val="0017350A"/>
    <w:rsid w:val="00173544"/>
    <w:rsid w:val="0017382D"/>
    <w:rsid w:val="001750B2"/>
    <w:rsid w:val="0017599D"/>
    <w:rsid w:val="001769FE"/>
    <w:rsid w:val="001809C3"/>
    <w:rsid w:val="00181B6E"/>
    <w:rsid w:val="00182161"/>
    <w:rsid w:val="00183E6B"/>
    <w:rsid w:val="00184550"/>
    <w:rsid w:val="00186481"/>
    <w:rsid w:val="00187EAD"/>
    <w:rsid w:val="00190939"/>
    <w:rsid w:val="00191D9C"/>
    <w:rsid w:val="0019547D"/>
    <w:rsid w:val="001957FA"/>
    <w:rsid w:val="001970D2"/>
    <w:rsid w:val="00197726"/>
    <w:rsid w:val="001A178D"/>
    <w:rsid w:val="001A35CC"/>
    <w:rsid w:val="001A46E0"/>
    <w:rsid w:val="001A4BE7"/>
    <w:rsid w:val="001A600A"/>
    <w:rsid w:val="001A60C3"/>
    <w:rsid w:val="001B1EE1"/>
    <w:rsid w:val="001B41CC"/>
    <w:rsid w:val="001B6BF0"/>
    <w:rsid w:val="001B7C89"/>
    <w:rsid w:val="001C009F"/>
    <w:rsid w:val="001C0956"/>
    <w:rsid w:val="001C20BA"/>
    <w:rsid w:val="001C3864"/>
    <w:rsid w:val="001C38CD"/>
    <w:rsid w:val="001C3F94"/>
    <w:rsid w:val="001C7D39"/>
    <w:rsid w:val="001D0001"/>
    <w:rsid w:val="001D3B1A"/>
    <w:rsid w:val="001D7A5D"/>
    <w:rsid w:val="001E02AE"/>
    <w:rsid w:val="001E2680"/>
    <w:rsid w:val="001E3EAF"/>
    <w:rsid w:val="001E438B"/>
    <w:rsid w:val="001E5789"/>
    <w:rsid w:val="001E661A"/>
    <w:rsid w:val="001E6E1E"/>
    <w:rsid w:val="001E776F"/>
    <w:rsid w:val="001E7789"/>
    <w:rsid w:val="001F0DFA"/>
    <w:rsid w:val="001F2092"/>
    <w:rsid w:val="001F240E"/>
    <w:rsid w:val="001F2C96"/>
    <w:rsid w:val="001F2D1B"/>
    <w:rsid w:val="001F2F19"/>
    <w:rsid w:val="00200072"/>
    <w:rsid w:val="00202BCB"/>
    <w:rsid w:val="00203435"/>
    <w:rsid w:val="002037C2"/>
    <w:rsid w:val="0020768E"/>
    <w:rsid w:val="00210A6B"/>
    <w:rsid w:val="002115CF"/>
    <w:rsid w:val="00212A29"/>
    <w:rsid w:val="002133FA"/>
    <w:rsid w:val="002211C1"/>
    <w:rsid w:val="002214B8"/>
    <w:rsid w:val="00222F1E"/>
    <w:rsid w:val="002236B1"/>
    <w:rsid w:val="00224856"/>
    <w:rsid w:val="00224947"/>
    <w:rsid w:val="002275F6"/>
    <w:rsid w:val="00230498"/>
    <w:rsid w:val="00231FEB"/>
    <w:rsid w:val="00232541"/>
    <w:rsid w:val="002356B3"/>
    <w:rsid w:val="002356CA"/>
    <w:rsid w:val="0023626B"/>
    <w:rsid w:val="00236812"/>
    <w:rsid w:val="00242039"/>
    <w:rsid w:val="0024365D"/>
    <w:rsid w:val="00243700"/>
    <w:rsid w:val="00247E05"/>
    <w:rsid w:val="002524D4"/>
    <w:rsid w:val="00252568"/>
    <w:rsid w:val="00252999"/>
    <w:rsid w:val="00253DDA"/>
    <w:rsid w:val="00254CA6"/>
    <w:rsid w:val="0025574F"/>
    <w:rsid w:val="002607CA"/>
    <w:rsid w:val="0026271D"/>
    <w:rsid w:val="00264C53"/>
    <w:rsid w:val="00266F88"/>
    <w:rsid w:val="00271A41"/>
    <w:rsid w:val="00272B93"/>
    <w:rsid w:val="00274C4D"/>
    <w:rsid w:val="00274EDA"/>
    <w:rsid w:val="00274EE2"/>
    <w:rsid w:val="002751E7"/>
    <w:rsid w:val="00277101"/>
    <w:rsid w:val="002804D3"/>
    <w:rsid w:val="00280D42"/>
    <w:rsid w:val="00281B55"/>
    <w:rsid w:val="00281CC0"/>
    <w:rsid w:val="00281D1F"/>
    <w:rsid w:val="00282518"/>
    <w:rsid w:val="00282799"/>
    <w:rsid w:val="00282B1E"/>
    <w:rsid w:val="00282B8E"/>
    <w:rsid w:val="00283812"/>
    <w:rsid w:val="00283DEE"/>
    <w:rsid w:val="002846C2"/>
    <w:rsid w:val="00285238"/>
    <w:rsid w:val="002858A2"/>
    <w:rsid w:val="00285DDD"/>
    <w:rsid w:val="00285FA3"/>
    <w:rsid w:val="0028606A"/>
    <w:rsid w:val="00290DCF"/>
    <w:rsid w:val="00292725"/>
    <w:rsid w:val="00293551"/>
    <w:rsid w:val="0029731D"/>
    <w:rsid w:val="002973CE"/>
    <w:rsid w:val="0029787B"/>
    <w:rsid w:val="002A0B9E"/>
    <w:rsid w:val="002A17BF"/>
    <w:rsid w:val="002A1F5E"/>
    <w:rsid w:val="002A2866"/>
    <w:rsid w:val="002A4501"/>
    <w:rsid w:val="002A4532"/>
    <w:rsid w:val="002A54CA"/>
    <w:rsid w:val="002A5533"/>
    <w:rsid w:val="002B44B7"/>
    <w:rsid w:val="002B621E"/>
    <w:rsid w:val="002B7504"/>
    <w:rsid w:val="002C0082"/>
    <w:rsid w:val="002C0C8D"/>
    <w:rsid w:val="002C10ED"/>
    <w:rsid w:val="002C118B"/>
    <w:rsid w:val="002C3444"/>
    <w:rsid w:val="002C546C"/>
    <w:rsid w:val="002C7D56"/>
    <w:rsid w:val="002D01C1"/>
    <w:rsid w:val="002D1718"/>
    <w:rsid w:val="002D43A7"/>
    <w:rsid w:val="002D6629"/>
    <w:rsid w:val="002E013D"/>
    <w:rsid w:val="002E232F"/>
    <w:rsid w:val="002E3356"/>
    <w:rsid w:val="002E3EB1"/>
    <w:rsid w:val="002E45F0"/>
    <w:rsid w:val="002E472E"/>
    <w:rsid w:val="002E4C7E"/>
    <w:rsid w:val="002E69BE"/>
    <w:rsid w:val="002F0909"/>
    <w:rsid w:val="002F0C25"/>
    <w:rsid w:val="002F4FDD"/>
    <w:rsid w:val="002F5E6E"/>
    <w:rsid w:val="0030100F"/>
    <w:rsid w:val="0030475E"/>
    <w:rsid w:val="003052F6"/>
    <w:rsid w:val="00306354"/>
    <w:rsid w:val="00310F69"/>
    <w:rsid w:val="003115FA"/>
    <w:rsid w:val="00312FED"/>
    <w:rsid w:val="00317285"/>
    <w:rsid w:val="00317EEA"/>
    <w:rsid w:val="00321D4A"/>
    <w:rsid w:val="00323724"/>
    <w:rsid w:val="003257CC"/>
    <w:rsid w:val="00325F7B"/>
    <w:rsid w:val="00326BAC"/>
    <w:rsid w:val="00330201"/>
    <w:rsid w:val="0033050B"/>
    <w:rsid w:val="003307F5"/>
    <w:rsid w:val="003327A4"/>
    <w:rsid w:val="00333347"/>
    <w:rsid w:val="00333CDD"/>
    <w:rsid w:val="00333F09"/>
    <w:rsid w:val="003357E2"/>
    <w:rsid w:val="00336C0A"/>
    <w:rsid w:val="00337847"/>
    <w:rsid w:val="00337E49"/>
    <w:rsid w:val="00341676"/>
    <w:rsid w:val="00341C97"/>
    <w:rsid w:val="00341F7F"/>
    <w:rsid w:val="00345A58"/>
    <w:rsid w:val="00345C9B"/>
    <w:rsid w:val="003468F5"/>
    <w:rsid w:val="003473AE"/>
    <w:rsid w:val="00347863"/>
    <w:rsid w:val="00350AD9"/>
    <w:rsid w:val="003527B1"/>
    <w:rsid w:val="00356766"/>
    <w:rsid w:val="003611B8"/>
    <w:rsid w:val="003612B5"/>
    <w:rsid w:val="00362BA4"/>
    <w:rsid w:val="00364FA5"/>
    <w:rsid w:val="00366299"/>
    <w:rsid w:val="0036632C"/>
    <w:rsid w:val="00366504"/>
    <w:rsid w:val="003667DD"/>
    <w:rsid w:val="003677CE"/>
    <w:rsid w:val="00371140"/>
    <w:rsid w:val="00372C4F"/>
    <w:rsid w:val="00374B58"/>
    <w:rsid w:val="0037641A"/>
    <w:rsid w:val="00376DA1"/>
    <w:rsid w:val="00381C72"/>
    <w:rsid w:val="00383C85"/>
    <w:rsid w:val="00384ACB"/>
    <w:rsid w:val="003861CB"/>
    <w:rsid w:val="003937C7"/>
    <w:rsid w:val="00394F64"/>
    <w:rsid w:val="00395504"/>
    <w:rsid w:val="0039679E"/>
    <w:rsid w:val="003A0C4C"/>
    <w:rsid w:val="003A2564"/>
    <w:rsid w:val="003A34CE"/>
    <w:rsid w:val="003A34E2"/>
    <w:rsid w:val="003A3553"/>
    <w:rsid w:val="003A38F2"/>
    <w:rsid w:val="003A3E37"/>
    <w:rsid w:val="003A3E87"/>
    <w:rsid w:val="003B19BA"/>
    <w:rsid w:val="003B2D89"/>
    <w:rsid w:val="003B3BEC"/>
    <w:rsid w:val="003B4571"/>
    <w:rsid w:val="003B7303"/>
    <w:rsid w:val="003B7B0D"/>
    <w:rsid w:val="003B7F91"/>
    <w:rsid w:val="003C0B28"/>
    <w:rsid w:val="003C35C4"/>
    <w:rsid w:val="003C3E12"/>
    <w:rsid w:val="003C4BEA"/>
    <w:rsid w:val="003C5CB3"/>
    <w:rsid w:val="003D0B2F"/>
    <w:rsid w:val="003D1AB8"/>
    <w:rsid w:val="003D38F9"/>
    <w:rsid w:val="003D3D92"/>
    <w:rsid w:val="003D4765"/>
    <w:rsid w:val="003D7E65"/>
    <w:rsid w:val="003E1188"/>
    <w:rsid w:val="003E2A6D"/>
    <w:rsid w:val="003E2DFA"/>
    <w:rsid w:val="003E42D2"/>
    <w:rsid w:val="003E5ED8"/>
    <w:rsid w:val="003E5FA0"/>
    <w:rsid w:val="003E60BF"/>
    <w:rsid w:val="003F093C"/>
    <w:rsid w:val="003F0E68"/>
    <w:rsid w:val="003F1932"/>
    <w:rsid w:val="003F3976"/>
    <w:rsid w:val="003F3D8E"/>
    <w:rsid w:val="003F659D"/>
    <w:rsid w:val="0040065B"/>
    <w:rsid w:val="00400D86"/>
    <w:rsid w:val="004013A9"/>
    <w:rsid w:val="004025C8"/>
    <w:rsid w:val="004038D8"/>
    <w:rsid w:val="00405960"/>
    <w:rsid w:val="004065B5"/>
    <w:rsid w:val="0040766B"/>
    <w:rsid w:val="00410531"/>
    <w:rsid w:val="004112AD"/>
    <w:rsid w:val="004130A7"/>
    <w:rsid w:val="00414007"/>
    <w:rsid w:val="0041414D"/>
    <w:rsid w:val="0041498F"/>
    <w:rsid w:val="00417162"/>
    <w:rsid w:val="00417965"/>
    <w:rsid w:val="004204BA"/>
    <w:rsid w:val="00421BE2"/>
    <w:rsid w:val="00423676"/>
    <w:rsid w:val="00424165"/>
    <w:rsid w:val="0042480C"/>
    <w:rsid w:val="00425D5B"/>
    <w:rsid w:val="00426715"/>
    <w:rsid w:val="00427F78"/>
    <w:rsid w:val="0043050B"/>
    <w:rsid w:val="004309F4"/>
    <w:rsid w:val="00430A37"/>
    <w:rsid w:val="00430C32"/>
    <w:rsid w:val="004362BF"/>
    <w:rsid w:val="00436C3C"/>
    <w:rsid w:val="004419A2"/>
    <w:rsid w:val="00442C62"/>
    <w:rsid w:val="00443229"/>
    <w:rsid w:val="0044578B"/>
    <w:rsid w:val="00445F75"/>
    <w:rsid w:val="004471B3"/>
    <w:rsid w:val="00456416"/>
    <w:rsid w:val="00457436"/>
    <w:rsid w:val="00460ECD"/>
    <w:rsid w:val="00463DE4"/>
    <w:rsid w:val="00465C40"/>
    <w:rsid w:val="00466531"/>
    <w:rsid w:val="00470392"/>
    <w:rsid w:val="004703E4"/>
    <w:rsid w:val="004728FD"/>
    <w:rsid w:val="004821CD"/>
    <w:rsid w:val="0048280E"/>
    <w:rsid w:val="00482FD2"/>
    <w:rsid w:val="0048309A"/>
    <w:rsid w:val="00484B42"/>
    <w:rsid w:val="00485D9E"/>
    <w:rsid w:val="004867C0"/>
    <w:rsid w:val="00487DE5"/>
    <w:rsid w:val="004919A2"/>
    <w:rsid w:val="00492653"/>
    <w:rsid w:val="00493162"/>
    <w:rsid w:val="00493547"/>
    <w:rsid w:val="0049462C"/>
    <w:rsid w:val="00496514"/>
    <w:rsid w:val="00496535"/>
    <w:rsid w:val="00496995"/>
    <w:rsid w:val="004973E4"/>
    <w:rsid w:val="00497FAB"/>
    <w:rsid w:val="004A26CF"/>
    <w:rsid w:val="004A321F"/>
    <w:rsid w:val="004A34C9"/>
    <w:rsid w:val="004A4041"/>
    <w:rsid w:val="004A5856"/>
    <w:rsid w:val="004A6F1C"/>
    <w:rsid w:val="004A7D14"/>
    <w:rsid w:val="004B0215"/>
    <w:rsid w:val="004B04E6"/>
    <w:rsid w:val="004B2CE3"/>
    <w:rsid w:val="004B3F0C"/>
    <w:rsid w:val="004B67AF"/>
    <w:rsid w:val="004B7E85"/>
    <w:rsid w:val="004C290E"/>
    <w:rsid w:val="004C50C6"/>
    <w:rsid w:val="004C533C"/>
    <w:rsid w:val="004C5D6E"/>
    <w:rsid w:val="004C63F8"/>
    <w:rsid w:val="004C7F14"/>
    <w:rsid w:val="004D1EC4"/>
    <w:rsid w:val="004D37BE"/>
    <w:rsid w:val="004D3A32"/>
    <w:rsid w:val="004D529B"/>
    <w:rsid w:val="004D6E1F"/>
    <w:rsid w:val="004E33B0"/>
    <w:rsid w:val="004E4292"/>
    <w:rsid w:val="004E4A07"/>
    <w:rsid w:val="004E7AD8"/>
    <w:rsid w:val="004F136F"/>
    <w:rsid w:val="004F25BE"/>
    <w:rsid w:val="004F2AAC"/>
    <w:rsid w:val="004F5BE3"/>
    <w:rsid w:val="004F63E3"/>
    <w:rsid w:val="004F66F8"/>
    <w:rsid w:val="004F6D64"/>
    <w:rsid w:val="005002D5"/>
    <w:rsid w:val="005021E4"/>
    <w:rsid w:val="0050299F"/>
    <w:rsid w:val="00503C94"/>
    <w:rsid w:val="00504E67"/>
    <w:rsid w:val="00505EC5"/>
    <w:rsid w:val="00507456"/>
    <w:rsid w:val="0051167B"/>
    <w:rsid w:val="005133B9"/>
    <w:rsid w:val="00513FD2"/>
    <w:rsid w:val="00515245"/>
    <w:rsid w:val="005170FC"/>
    <w:rsid w:val="00517E89"/>
    <w:rsid w:val="00522224"/>
    <w:rsid w:val="00522A43"/>
    <w:rsid w:val="00522FB4"/>
    <w:rsid w:val="0052418F"/>
    <w:rsid w:val="00525D4A"/>
    <w:rsid w:val="005264DB"/>
    <w:rsid w:val="00527C6A"/>
    <w:rsid w:val="00527CE5"/>
    <w:rsid w:val="00527EBC"/>
    <w:rsid w:val="00530DB6"/>
    <w:rsid w:val="0053679C"/>
    <w:rsid w:val="00537342"/>
    <w:rsid w:val="005412CF"/>
    <w:rsid w:val="00542878"/>
    <w:rsid w:val="00543200"/>
    <w:rsid w:val="005444D8"/>
    <w:rsid w:val="00544B08"/>
    <w:rsid w:val="005469E1"/>
    <w:rsid w:val="00546D97"/>
    <w:rsid w:val="005507EE"/>
    <w:rsid w:val="0055146C"/>
    <w:rsid w:val="00551FBA"/>
    <w:rsid w:val="00553421"/>
    <w:rsid w:val="005536B2"/>
    <w:rsid w:val="005538EA"/>
    <w:rsid w:val="00553FE9"/>
    <w:rsid w:val="00554500"/>
    <w:rsid w:val="00554A9A"/>
    <w:rsid w:val="00556051"/>
    <w:rsid w:val="00556F91"/>
    <w:rsid w:val="005604D3"/>
    <w:rsid w:val="0056071F"/>
    <w:rsid w:val="0056080A"/>
    <w:rsid w:val="00560C7A"/>
    <w:rsid w:val="0056130E"/>
    <w:rsid w:val="00561EC2"/>
    <w:rsid w:val="0056481F"/>
    <w:rsid w:val="00564E6A"/>
    <w:rsid w:val="00566100"/>
    <w:rsid w:val="005672EA"/>
    <w:rsid w:val="005673A4"/>
    <w:rsid w:val="0056753D"/>
    <w:rsid w:val="005679AE"/>
    <w:rsid w:val="0057216D"/>
    <w:rsid w:val="0057218D"/>
    <w:rsid w:val="00572B6B"/>
    <w:rsid w:val="005730E1"/>
    <w:rsid w:val="00574C17"/>
    <w:rsid w:val="00575C23"/>
    <w:rsid w:val="005761BE"/>
    <w:rsid w:val="00577834"/>
    <w:rsid w:val="00580B12"/>
    <w:rsid w:val="00581D9C"/>
    <w:rsid w:val="005823A3"/>
    <w:rsid w:val="0058319F"/>
    <w:rsid w:val="00583CBF"/>
    <w:rsid w:val="0058411C"/>
    <w:rsid w:val="005852B1"/>
    <w:rsid w:val="005866AA"/>
    <w:rsid w:val="00586ECA"/>
    <w:rsid w:val="00587A22"/>
    <w:rsid w:val="00593477"/>
    <w:rsid w:val="00594375"/>
    <w:rsid w:val="005966FF"/>
    <w:rsid w:val="00596B61"/>
    <w:rsid w:val="00596FBE"/>
    <w:rsid w:val="005A05E2"/>
    <w:rsid w:val="005A0653"/>
    <w:rsid w:val="005A0E05"/>
    <w:rsid w:val="005A26DB"/>
    <w:rsid w:val="005A70EB"/>
    <w:rsid w:val="005B4BD8"/>
    <w:rsid w:val="005B6298"/>
    <w:rsid w:val="005B71C6"/>
    <w:rsid w:val="005C127F"/>
    <w:rsid w:val="005C2BF9"/>
    <w:rsid w:val="005C4DBD"/>
    <w:rsid w:val="005C581F"/>
    <w:rsid w:val="005C715E"/>
    <w:rsid w:val="005D08B9"/>
    <w:rsid w:val="005D4713"/>
    <w:rsid w:val="005D48F5"/>
    <w:rsid w:val="005D4CBC"/>
    <w:rsid w:val="005D5069"/>
    <w:rsid w:val="005D5740"/>
    <w:rsid w:val="005D5FFB"/>
    <w:rsid w:val="005D70A4"/>
    <w:rsid w:val="005E0AF2"/>
    <w:rsid w:val="005E26FE"/>
    <w:rsid w:val="005E2B7C"/>
    <w:rsid w:val="005E35A6"/>
    <w:rsid w:val="005E53F8"/>
    <w:rsid w:val="005E5E70"/>
    <w:rsid w:val="005E6185"/>
    <w:rsid w:val="005E6EA3"/>
    <w:rsid w:val="005E79D6"/>
    <w:rsid w:val="005F055C"/>
    <w:rsid w:val="005F1629"/>
    <w:rsid w:val="005F1C86"/>
    <w:rsid w:val="005F6E23"/>
    <w:rsid w:val="005F73FB"/>
    <w:rsid w:val="005F7449"/>
    <w:rsid w:val="005F76D3"/>
    <w:rsid w:val="00603706"/>
    <w:rsid w:val="00603D9B"/>
    <w:rsid w:val="00604936"/>
    <w:rsid w:val="006049E2"/>
    <w:rsid w:val="00604EAC"/>
    <w:rsid w:val="00605770"/>
    <w:rsid w:val="00605E0D"/>
    <w:rsid w:val="006067BF"/>
    <w:rsid w:val="006100A5"/>
    <w:rsid w:val="006103A4"/>
    <w:rsid w:val="0061142C"/>
    <w:rsid w:val="00611C65"/>
    <w:rsid w:val="0061213E"/>
    <w:rsid w:val="00612C52"/>
    <w:rsid w:val="00613FBC"/>
    <w:rsid w:val="0061676A"/>
    <w:rsid w:val="00616C13"/>
    <w:rsid w:val="0062005B"/>
    <w:rsid w:val="00620106"/>
    <w:rsid w:val="00620E0A"/>
    <w:rsid w:val="00622E00"/>
    <w:rsid w:val="006240AB"/>
    <w:rsid w:val="00627834"/>
    <w:rsid w:val="00630247"/>
    <w:rsid w:val="006305CB"/>
    <w:rsid w:val="00630E34"/>
    <w:rsid w:val="006317EF"/>
    <w:rsid w:val="00631F76"/>
    <w:rsid w:val="006336A8"/>
    <w:rsid w:val="00635C76"/>
    <w:rsid w:val="00635E29"/>
    <w:rsid w:val="00637BEA"/>
    <w:rsid w:val="00640AA8"/>
    <w:rsid w:val="0064101E"/>
    <w:rsid w:val="006428B4"/>
    <w:rsid w:val="006438BB"/>
    <w:rsid w:val="00643946"/>
    <w:rsid w:val="00645ED3"/>
    <w:rsid w:val="006467D4"/>
    <w:rsid w:val="00647F58"/>
    <w:rsid w:val="0065001E"/>
    <w:rsid w:val="00655CC6"/>
    <w:rsid w:val="00657DA9"/>
    <w:rsid w:val="0066121B"/>
    <w:rsid w:val="006660DB"/>
    <w:rsid w:val="006673C2"/>
    <w:rsid w:val="006673F5"/>
    <w:rsid w:val="00667CBA"/>
    <w:rsid w:val="00670BAA"/>
    <w:rsid w:val="00671086"/>
    <w:rsid w:val="0067182C"/>
    <w:rsid w:val="00672E4F"/>
    <w:rsid w:val="006734FE"/>
    <w:rsid w:val="0067444E"/>
    <w:rsid w:val="006755BC"/>
    <w:rsid w:val="006756D6"/>
    <w:rsid w:val="00675AEE"/>
    <w:rsid w:val="0068110A"/>
    <w:rsid w:val="00683505"/>
    <w:rsid w:val="00683861"/>
    <w:rsid w:val="00684667"/>
    <w:rsid w:val="00686878"/>
    <w:rsid w:val="006875D8"/>
    <w:rsid w:val="00692C9B"/>
    <w:rsid w:val="006942B4"/>
    <w:rsid w:val="00697D1C"/>
    <w:rsid w:val="006A2AFC"/>
    <w:rsid w:val="006A69D5"/>
    <w:rsid w:val="006B3425"/>
    <w:rsid w:val="006B6781"/>
    <w:rsid w:val="006B70DF"/>
    <w:rsid w:val="006C0442"/>
    <w:rsid w:val="006C2511"/>
    <w:rsid w:val="006C37E8"/>
    <w:rsid w:val="006C4DD3"/>
    <w:rsid w:val="006C53C0"/>
    <w:rsid w:val="006C64E8"/>
    <w:rsid w:val="006C6774"/>
    <w:rsid w:val="006C73B7"/>
    <w:rsid w:val="006D0C31"/>
    <w:rsid w:val="006D0CC2"/>
    <w:rsid w:val="006D130A"/>
    <w:rsid w:val="006D2397"/>
    <w:rsid w:val="006D2C3C"/>
    <w:rsid w:val="006D31F4"/>
    <w:rsid w:val="006D3D4D"/>
    <w:rsid w:val="006D5BB1"/>
    <w:rsid w:val="006E102F"/>
    <w:rsid w:val="006E1277"/>
    <w:rsid w:val="006E2D9A"/>
    <w:rsid w:val="006E3EAC"/>
    <w:rsid w:val="006E4113"/>
    <w:rsid w:val="006E64CE"/>
    <w:rsid w:val="006E70B4"/>
    <w:rsid w:val="006F196F"/>
    <w:rsid w:val="006F2373"/>
    <w:rsid w:val="006F2B1B"/>
    <w:rsid w:val="006F2C9C"/>
    <w:rsid w:val="006F2FDD"/>
    <w:rsid w:val="006F45FF"/>
    <w:rsid w:val="006F684A"/>
    <w:rsid w:val="006F69FD"/>
    <w:rsid w:val="00702CAD"/>
    <w:rsid w:val="007033BD"/>
    <w:rsid w:val="00703C0C"/>
    <w:rsid w:val="00704D7F"/>
    <w:rsid w:val="0070628E"/>
    <w:rsid w:val="00706660"/>
    <w:rsid w:val="007067B5"/>
    <w:rsid w:val="0070696D"/>
    <w:rsid w:val="0071079F"/>
    <w:rsid w:val="00710EA4"/>
    <w:rsid w:val="00710F50"/>
    <w:rsid w:val="007112FF"/>
    <w:rsid w:val="00713840"/>
    <w:rsid w:val="00714210"/>
    <w:rsid w:val="00715004"/>
    <w:rsid w:val="00715CD8"/>
    <w:rsid w:val="007200E6"/>
    <w:rsid w:val="00720A09"/>
    <w:rsid w:val="007231D3"/>
    <w:rsid w:val="00723496"/>
    <w:rsid w:val="00724273"/>
    <w:rsid w:val="0072508C"/>
    <w:rsid w:val="00726358"/>
    <w:rsid w:val="007303E7"/>
    <w:rsid w:val="00731452"/>
    <w:rsid w:val="0073257E"/>
    <w:rsid w:val="00733074"/>
    <w:rsid w:val="007332FC"/>
    <w:rsid w:val="007367A0"/>
    <w:rsid w:val="0073756A"/>
    <w:rsid w:val="007402FF"/>
    <w:rsid w:val="00740E3C"/>
    <w:rsid w:val="007419DB"/>
    <w:rsid w:val="0074527D"/>
    <w:rsid w:val="00745B00"/>
    <w:rsid w:val="007461BB"/>
    <w:rsid w:val="007468A1"/>
    <w:rsid w:val="007514B6"/>
    <w:rsid w:val="00751CCD"/>
    <w:rsid w:val="00752094"/>
    <w:rsid w:val="007533BD"/>
    <w:rsid w:val="00756564"/>
    <w:rsid w:val="007615D0"/>
    <w:rsid w:val="00761E74"/>
    <w:rsid w:val="00763DDA"/>
    <w:rsid w:val="00764392"/>
    <w:rsid w:val="00764ACA"/>
    <w:rsid w:val="00765963"/>
    <w:rsid w:val="00765DF0"/>
    <w:rsid w:val="00767200"/>
    <w:rsid w:val="007709D2"/>
    <w:rsid w:val="00771829"/>
    <w:rsid w:val="00773238"/>
    <w:rsid w:val="00774B7B"/>
    <w:rsid w:val="00775411"/>
    <w:rsid w:val="00775A1A"/>
    <w:rsid w:val="0077641E"/>
    <w:rsid w:val="00777221"/>
    <w:rsid w:val="00780980"/>
    <w:rsid w:val="00781118"/>
    <w:rsid w:val="00781F2B"/>
    <w:rsid w:val="00782551"/>
    <w:rsid w:val="007828A2"/>
    <w:rsid w:val="00783326"/>
    <w:rsid w:val="0078333D"/>
    <w:rsid w:val="00783819"/>
    <w:rsid w:val="00783E37"/>
    <w:rsid w:val="00784343"/>
    <w:rsid w:val="007847FF"/>
    <w:rsid w:val="00786091"/>
    <w:rsid w:val="00786292"/>
    <w:rsid w:val="00786A98"/>
    <w:rsid w:val="00791143"/>
    <w:rsid w:val="00791991"/>
    <w:rsid w:val="00791FEE"/>
    <w:rsid w:val="0079547F"/>
    <w:rsid w:val="00796C20"/>
    <w:rsid w:val="007A0224"/>
    <w:rsid w:val="007A062B"/>
    <w:rsid w:val="007A0DD5"/>
    <w:rsid w:val="007A2B0C"/>
    <w:rsid w:val="007A2CF0"/>
    <w:rsid w:val="007A2FAA"/>
    <w:rsid w:val="007A3752"/>
    <w:rsid w:val="007A3BB2"/>
    <w:rsid w:val="007A3D01"/>
    <w:rsid w:val="007A44A4"/>
    <w:rsid w:val="007A5A7B"/>
    <w:rsid w:val="007A6B8F"/>
    <w:rsid w:val="007A7005"/>
    <w:rsid w:val="007B5E5A"/>
    <w:rsid w:val="007B66C9"/>
    <w:rsid w:val="007C1358"/>
    <w:rsid w:val="007C1F63"/>
    <w:rsid w:val="007C4CB3"/>
    <w:rsid w:val="007C65B8"/>
    <w:rsid w:val="007C7F69"/>
    <w:rsid w:val="007D3FDF"/>
    <w:rsid w:val="007D5AEF"/>
    <w:rsid w:val="007D5BE4"/>
    <w:rsid w:val="007D5F94"/>
    <w:rsid w:val="007D7D9C"/>
    <w:rsid w:val="007E2644"/>
    <w:rsid w:val="007E2CA8"/>
    <w:rsid w:val="007E36AE"/>
    <w:rsid w:val="007E40A9"/>
    <w:rsid w:val="007E4838"/>
    <w:rsid w:val="007E4AE1"/>
    <w:rsid w:val="007F1482"/>
    <w:rsid w:val="007F5C0C"/>
    <w:rsid w:val="007F6A99"/>
    <w:rsid w:val="008023DD"/>
    <w:rsid w:val="00802AC2"/>
    <w:rsid w:val="00802E0B"/>
    <w:rsid w:val="00805350"/>
    <w:rsid w:val="008053F9"/>
    <w:rsid w:val="008057C9"/>
    <w:rsid w:val="00805925"/>
    <w:rsid w:val="008063D7"/>
    <w:rsid w:val="0080781E"/>
    <w:rsid w:val="00810CA7"/>
    <w:rsid w:val="00811813"/>
    <w:rsid w:val="008138C6"/>
    <w:rsid w:val="00813C00"/>
    <w:rsid w:val="008148AB"/>
    <w:rsid w:val="00814BF4"/>
    <w:rsid w:val="008162DA"/>
    <w:rsid w:val="00816572"/>
    <w:rsid w:val="00817FC6"/>
    <w:rsid w:val="00823442"/>
    <w:rsid w:val="008235CC"/>
    <w:rsid w:val="008236A3"/>
    <w:rsid w:val="00823C05"/>
    <w:rsid w:val="00823E12"/>
    <w:rsid w:val="008253F7"/>
    <w:rsid w:val="0082648A"/>
    <w:rsid w:val="008273DC"/>
    <w:rsid w:val="00827421"/>
    <w:rsid w:val="008274A2"/>
    <w:rsid w:val="00830844"/>
    <w:rsid w:val="008317A1"/>
    <w:rsid w:val="0083282D"/>
    <w:rsid w:val="00832BD0"/>
    <w:rsid w:val="00832D78"/>
    <w:rsid w:val="0083514E"/>
    <w:rsid w:val="008352E3"/>
    <w:rsid w:val="00835322"/>
    <w:rsid w:val="0083606E"/>
    <w:rsid w:val="00836684"/>
    <w:rsid w:val="00836CAB"/>
    <w:rsid w:val="008372BA"/>
    <w:rsid w:val="00841B94"/>
    <w:rsid w:val="00842B3D"/>
    <w:rsid w:val="00843C18"/>
    <w:rsid w:val="00843CF7"/>
    <w:rsid w:val="00843F37"/>
    <w:rsid w:val="00844279"/>
    <w:rsid w:val="00845A73"/>
    <w:rsid w:val="00845E33"/>
    <w:rsid w:val="00851FA7"/>
    <w:rsid w:val="008520A9"/>
    <w:rsid w:val="00853059"/>
    <w:rsid w:val="0085306F"/>
    <w:rsid w:val="0085578C"/>
    <w:rsid w:val="00855C6D"/>
    <w:rsid w:val="008622F0"/>
    <w:rsid w:val="008626A0"/>
    <w:rsid w:val="00863B97"/>
    <w:rsid w:val="00866EDB"/>
    <w:rsid w:val="008713D8"/>
    <w:rsid w:val="00871A3B"/>
    <w:rsid w:val="00872849"/>
    <w:rsid w:val="0087286F"/>
    <w:rsid w:val="00872AAA"/>
    <w:rsid w:val="00873AE8"/>
    <w:rsid w:val="0087442B"/>
    <w:rsid w:val="00875E51"/>
    <w:rsid w:val="00876BA5"/>
    <w:rsid w:val="00880311"/>
    <w:rsid w:val="00881572"/>
    <w:rsid w:val="008827FE"/>
    <w:rsid w:val="00883794"/>
    <w:rsid w:val="00884A41"/>
    <w:rsid w:val="00885923"/>
    <w:rsid w:val="0088598F"/>
    <w:rsid w:val="00886656"/>
    <w:rsid w:val="00892ABA"/>
    <w:rsid w:val="00895950"/>
    <w:rsid w:val="008A1492"/>
    <w:rsid w:val="008A4E1A"/>
    <w:rsid w:val="008A5CDE"/>
    <w:rsid w:val="008A5FAE"/>
    <w:rsid w:val="008A78EA"/>
    <w:rsid w:val="008B1741"/>
    <w:rsid w:val="008B2E5E"/>
    <w:rsid w:val="008B42A8"/>
    <w:rsid w:val="008B5399"/>
    <w:rsid w:val="008B64BC"/>
    <w:rsid w:val="008B6DB9"/>
    <w:rsid w:val="008B7742"/>
    <w:rsid w:val="008C0301"/>
    <w:rsid w:val="008C0EC2"/>
    <w:rsid w:val="008C1BD1"/>
    <w:rsid w:val="008C205D"/>
    <w:rsid w:val="008C46C0"/>
    <w:rsid w:val="008C5A29"/>
    <w:rsid w:val="008C5E13"/>
    <w:rsid w:val="008C60FE"/>
    <w:rsid w:val="008C6795"/>
    <w:rsid w:val="008C6BFD"/>
    <w:rsid w:val="008C7651"/>
    <w:rsid w:val="008C7D6E"/>
    <w:rsid w:val="008D206F"/>
    <w:rsid w:val="008D2662"/>
    <w:rsid w:val="008D2F91"/>
    <w:rsid w:val="008D3F85"/>
    <w:rsid w:val="008D4901"/>
    <w:rsid w:val="008D4FAA"/>
    <w:rsid w:val="008D5E37"/>
    <w:rsid w:val="008D669E"/>
    <w:rsid w:val="008E028A"/>
    <w:rsid w:val="008E2877"/>
    <w:rsid w:val="008E2F68"/>
    <w:rsid w:val="008E4044"/>
    <w:rsid w:val="008F2EFC"/>
    <w:rsid w:val="008F3298"/>
    <w:rsid w:val="008F42A6"/>
    <w:rsid w:val="008F66F4"/>
    <w:rsid w:val="008F79D1"/>
    <w:rsid w:val="009002E7"/>
    <w:rsid w:val="009003EA"/>
    <w:rsid w:val="00901F2D"/>
    <w:rsid w:val="00901FFD"/>
    <w:rsid w:val="009028B6"/>
    <w:rsid w:val="00902C4F"/>
    <w:rsid w:val="00903087"/>
    <w:rsid w:val="0090430C"/>
    <w:rsid w:val="00904387"/>
    <w:rsid w:val="00904C64"/>
    <w:rsid w:val="00904C8A"/>
    <w:rsid w:val="0090724D"/>
    <w:rsid w:val="00907BB3"/>
    <w:rsid w:val="009107CA"/>
    <w:rsid w:val="00911206"/>
    <w:rsid w:val="0091148B"/>
    <w:rsid w:val="00911E7A"/>
    <w:rsid w:val="0091302F"/>
    <w:rsid w:val="009133A3"/>
    <w:rsid w:val="0091687E"/>
    <w:rsid w:val="00916E3B"/>
    <w:rsid w:val="00920B55"/>
    <w:rsid w:val="009229BE"/>
    <w:rsid w:val="00923F02"/>
    <w:rsid w:val="00924F85"/>
    <w:rsid w:val="00927087"/>
    <w:rsid w:val="009306D0"/>
    <w:rsid w:val="009337CE"/>
    <w:rsid w:val="00933BEE"/>
    <w:rsid w:val="00934040"/>
    <w:rsid w:val="00934B05"/>
    <w:rsid w:val="009354B4"/>
    <w:rsid w:val="00935D02"/>
    <w:rsid w:val="00937DF1"/>
    <w:rsid w:val="009406F3"/>
    <w:rsid w:val="009413DF"/>
    <w:rsid w:val="0094296C"/>
    <w:rsid w:val="009436FC"/>
    <w:rsid w:val="00944552"/>
    <w:rsid w:val="00944C12"/>
    <w:rsid w:val="00946110"/>
    <w:rsid w:val="00950429"/>
    <w:rsid w:val="009507B5"/>
    <w:rsid w:val="0095101F"/>
    <w:rsid w:val="00951068"/>
    <w:rsid w:val="009512A0"/>
    <w:rsid w:val="00951741"/>
    <w:rsid w:val="00953246"/>
    <w:rsid w:val="00953A60"/>
    <w:rsid w:val="00954C5E"/>
    <w:rsid w:val="00954CD1"/>
    <w:rsid w:val="00956B43"/>
    <w:rsid w:val="00956F5E"/>
    <w:rsid w:val="00957E7A"/>
    <w:rsid w:val="009601EE"/>
    <w:rsid w:val="00960995"/>
    <w:rsid w:val="00960ED7"/>
    <w:rsid w:val="00960F9F"/>
    <w:rsid w:val="009629B2"/>
    <w:rsid w:val="00964299"/>
    <w:rsid w:val="00964BE7"/>
    <w:rsid w:val="00964F88"/>
    <w:rsid w:val="0096615C"/>
    <w:rsid w:val="0096684C"/>
    <w:rsid w:val="00970305"/>
    <w:rsid w:val="009713B9"/>
    <w:rsid w:val="00971743"/>
    <w:rsid w:val="00971ACC"/>
    <w:rsid w:val="00972DE4"/>
    <w:rsid w:val="0097328D"/>
    <w:rsid w:val="00973660"/>
    <w:rsid w:val="00975B05"/>
    <w:rsid w:val="0097604D"/>
    <w:rsid w:val="009775EC"/>
    <w:rsid w:val="00977913"/>
    <w:rsid w:val="009812DC"/>
    <w:rsid w:val="00982441"/>
    <w:rsid w:val="0098416E"/>
    <w:rsid w:val="00985307"/>
    <w:rsid w:val="00985AAE"/>
    <w:rsid w:val="00987706"/>
    <w:rsid w:val="00987E27"/>
    <w:rsid w:val="00991250"/>
    <w:rsid w:val="0099149F"/>
    <w:rsid w:val="00995525"/>
    <w:rsid w:val="00995942"/>
    <w:rsid w:val="00995AF9"/>
    <w:rsid w:val="00995DD3"/>
    <w:rsid w:val="00997CCF"/>
    <w:rsid w:val="009A3110"/>
    <w:rsid w:val="009A4E30"/>
    <w:rsid w:val="009A53DD"/>
    <w:rsid w:val="009A58B6"/>
    <w:rsid w:val="009A5B79"/>
    <w:rsid w:val="009A7B31"/>
    <w:rsid w:val="009B17A9"/>
    <w:rsid w:val="009B182A"/>
    <w:rsid w:val="009B2134"/>
    <w:rsid w:val="009B372F"/>
    <w:rsid w:val="009B3752"/>
    <w:rsid w:val="009B385A"/>
    <w:rsid w:val="009B3BD7"/>
    <w:rsid w:val="009B591C"/>
    <w:rsid w:val="009B6AA4"/>
    <w:rsid w:val="009B6E27"/>
    <w:rsid w:val="009B7B91"/>
    <w:rsid w:val="009C0D7A"/>
    <w:rsid w:val="009C2A00"/>
    <w:rsid w:val="009C387D"/>
    <w:rsid w:val="009C5C83"/>
    <w:rsid w:val="009C72E7"/>
    <w:rsid w:val="009D05B8"/>
    <w:rsid w:val="009D2324"/>
    <w:rsid w:val="009D27E1"/>
    <w:rsid w:val="009D2E63"/>
    <w:rsid w:val="009D76DD"/>
    <w:rsid w:val="009E02B4"/>
    <w:rsid w:val="009E0F96"/>
    <w:rsid w:val="009E148F"/>
    <w:rsid w:val="009E1C8C"/>
    <w:rsid w:val="009E2B93"/>
    <w:rsid w:val="009E2BE4"/>
    <w:rsid w:val="009E40C3"/>
    <w:rsid w:val="009E6758"/>
    <w:rsid w:val="009F1A54"/>
    <w:rsid w:val="009F24AA"/>
    <w:rsid w:val="009F31F3"/>
    <w:rsid w:val="009F44EC"/>
    <w:rsid w:val="009F4C02"/>
    <w:rsid w:val="009F7FA5"/>
    <w:rsid w:val="00A0020D"/>
    <w:rsid w:val="00A00EE7"/>
    <w:rsid w:val="00A01C2E"/>
    <w:rsid w:val="00A0216B"/>
    <w:rsid w:val="00A0227D"/>
    <w:rsid w:val="00A0449E"/>
    <w:rsid w:val="00A05337"/>
    <w:rsid w:val="00A055B8"/>
    <w:rsid w:val="00A06549"/>
    <w:rsid w:val="00A065B3"/>
    <w:rsid w:val="00A10586"/>
    <w:rsid w:val="00A12547"/>
    <w:rsid w:val="00A158FB"/>
    <w:rsid w:val="00A20907"/>
    <w:rsid w:val="00A20CF7"/>
    <w:rsid w:val="00A22F81"/>
    <w:rsid w:val="00A23424"/>
    <w:rsid w:val="00A250EE"/>
    <w:rsid w:val="00A26332"/>
    <w:rsid w:val="00A30240"/>
    <w:rsid w:val="00A32361"/>
    <w:rsid w:val="00A33880"/>
    <w:rsid w:val="00A3727A"/>
    <w:rsid w:val="00A4129A"/>
    <w:rsid w:val="00A44230"/>
    <w:rsid w:val="00A4478C"/>
    <w:rsid w:val="00A44FD6"/>
    <w:rsid w:val="00A4507C"/>
    <w:rsid w:val="00A45A73"/>
    <w:rsid w:val="00A45AD3"/>
    <w:rsid w:val="00A46B3C"/>
    <w:rsid w:val="00A47093"/>
    <w:rsid w:val="00A50B55"/>
    <w:rsid w:val="00A51BF6"/>
    <w:rsid w:val="00A520E5"/>
    <w:rsid w:val="00A53533"/>
    <w:rsid w:val="00A553CB"/>
    <w:rsid w:val="00A55A69"/>
    <w:rsid w:val="00A56FFE"/>
    <w:rsid w:val="00A572C3"/>
    <w:rsid w:val="00A574D9"/>
    <w:rsid w:val="00A6082C"/>
    <w:rsid w:val="00A64496"/>
    <w:rsid w:val="00A655C3"/>
    <w:rsid w:val="00A66E36"/>
    <w:rsid w:val="00A73B76"/>
    <w:rsid w:val="00A74C30"/>
    <w:rsid w:val="00A7746F"/>
    <w:rsid w:val="00A80C96"/>
    <w:rsid w:val="00A8136E"/>
    <w:rsid w:val="00A818F0"/>
    <w:rsid w:val="00A83608"/>
    <w:rsid w:val="00A84F26"/>
    <w:rsid w:val="00A873FB"/>
    <w:rsid w:val="00A87B8E"/>
    <w:rsid w:val="00A90645"/>
    <w:rsid w:val="00A906E2"/>
    <w:rsid w:val="00A931B9"/>
    <w:rsid w:val="00A95AD1"/>
    <w:rsid w:val="00A96870"/>
    <w:rsid w:val="00A96A4D"/>
    <w:rsid w:val="00A97A6E"/>
    <w:rsid w:val="00AA0547"/>
    <w:rsid w:val="00AA1F50"/>
    <w:rsid w:val="00AA24A8"/>
    <w:rsid w:val="00AA26DD"/>
    <w:rsid w:val="00AA5CF3"/>
    <w:rsid w:val="00AB00A1"/>
    <w:rsid w:val="00AB1BF3"/>
    <w:rsid w:val="00AB24B7"/>
    <w:rsid w:val="00AB29E1"/>
    <w:rsid w:val="00AB2BD2"/>
    <w:rsid w:val="00AB2BEA"/>
    <w:rsid w:val="00AB65B2"/>
    <w:rsid w:val="00AB697A"/>
    <w:rsid w:val="00AB7589"/>
    <w:rsid w:val="00AB7CEC"/>
    <w:rsid w:val="00AC0090"/>
    <w:rsid w:val="00AC1100"/>
    <w:rsid w:val="00AC2C41"/>
    <w:rsid w:val="00AC3A07"/>
    <w:rsid w:val="00AC5926"/>
    <w:rsid w:val="00AC5D41"/>
    <w:rsid w:val="00AC5FCF"/>
    <w:rsid w:val="00AC66EC"/>
    <w:rsid w:val="00AC7AF6"/>
    <w:rsid w:val="00AC7CF3"/>
    <w:rsid w:val="00AC7D53"/>
    <w:rsid w:val="00AD04C1"/>
    <w:rsid w:val="00AD098F"/>
    <w:rsid w:val="00AD14DD"/>
    <w:rsid w:val="00AD17C2"/>
    <w:rsid w:val="00AD31D7"/>
    <w:rsid w:val="00AD6615"/>
    <w:rsid w:val="00AD6D50"/>
    <w:rsid w:val="00AD7E6F"/>
    <w:rsid w:val="00AE2832"/>
    <w:rsid w:val="00AE3646"/>
    <w:rsid w:val="00AE513B"/>
    <w:rsid w:val="00AE57B3"/>
    <w:rsid w:val="00AE6390"/>
    <w:rsid w:val="00AF22D0"/>
    <w:rsid w:val="00AF3B31"/>
    <w:rsid w:val="00AF5F9C"/>
    <w:rsid w:val="00AF6239"/>
    <w:rsid w:val="00AF73C9"/>
    <w:rsid w:val="00AF7E38"/>
    <w:rsid w:val="00B00A9C"/>
    <w:rsid w:val="00B0705D"/>
    <w:rsid w:val="00B078FA"/>
    <w:rsid w:val="00B10553"/>
    <w:rsid w:val="00B112DF"/>
    <w:rsid w:val="00B12195"/>
    <w:rsid w:val="00B147E5"/>
    <w:rsid w:val="00B14F4E"/>
    <w:rsid w:val="00B17B1D"/>
    <w:rsid w:val="00B22631"/>
    <w:rsid w:val="00B232D1"/>
    <w:rsid w:val="00B313D6"/>
    <w:rsid w:val="00B3168A"/>
    <w:rsid w:val="00B3201A"/>
    <w:rsid w:val="00B32182"/>
    <w:rsid w:val="00B332B8"/>
    <w:rsid w:val="00B34BAA"/>
    <w:rsid w:val="00B35CBE"/>
    <w:rsid w:val="00B36846"/>
    <w:rsid w:val="00B370F7"/>
    <w:rsid w:val="00B40D29"/>
    <w:rsid w:val="00B41144"/>
    <w:rsid w:val="00B416AC"/>
    <w:rsid w:val="00B4210D"/>
    <w:rsid w:val="00B46155"/>
    <w:rsid w:val="00B46C22"/>
    <w:rsid w:val="00B47004"/>
    <w:rsid w:val="00B47AFA"/>
    <w:rsid w:val="00B53C6D"/>
    <w:rsid w:val="00B55A61"/>
    <w:rsid w:val="00B56E15"/>
    <w:rsid w:val="00B57502"/>
    <w:rsid w:val="00B5786A"/>
    <w:rsid w:val="00B578AA"/>
    <w:rsid w:val="00B578B4"/>
    <w:rsid w:val="00B63650"/>
    <w:rsid w:val="00B645EE"/>
    <w:rsid w:val="00B64D76"/>
    <w:rsid w:val="00B6639B"/>
    <w:rsid w:val="00B67D4A"/>
    <w:rsid w:val="00B67F97"/>
    <w:rsid w:val="00B72A9B"/>
    <w:rsid w:val="00B73DED"/>
    <w:rsid w:val="00B7499A"/>
    <w:rsid w:val="00B75061"/>
    <w:rsid w:val="00B76B25"/>
    <w:rsid w:val="00B77C0A"/>
    <w:rsid w:val="00B77E7E"/>
    <w:rsid w:val="00B800C9"/>
    <w:rsid w:val="00B80B56"/>
    <w:rsid w:val="00B81991"/>
    <w:rsid w:val="00B81EC3"/>
    <w:rsid w:val="00B8378C"/>
    <w:rsid w:val="00B84A91"/>
    <w:rsid w:val="00B84ED3"/>
    <w:rsid w:val="00B85EE7"/>
    <w:rsid w:val="00B87057"/>
    <w:rsid w:val="00B915FF"/>
    <w:rsid w:val="00B91AD6"/>
    <w:rsid w:val="00B92B96"/>
    <w:rsid w:val="00B92D7C"/>
    <w:rsid w:val="00B94FE2"/>
    <w:rsid w:val="00B965FD"/>
    <w:rsid w:val="00B968C5"/>
    <w:rsid w:val="00B97636"/>
    <w:rsid w:val="00BA034D"/>
    <w:rsid w:val="00BA1AC4"/>
    <w:rsid w:val="00BA3918"/>
    <w:rsid w:val="00BA4464"/>
    <w:rsid w:val="00BA777F"/>
    <w:rsid w:val="00BB2FFC"/>
    <w:rsid w:val="00BB39F8"/>
    <w:rsid w:val="00BB4F18"/>
    <w:rsid w:val="00BB50F5"/>
    <w:rsid w:val="00BC03BF"/>
    <w:rsid w:val="00BC12EA"/>
    <w:rsid w:val="00BC1DC5"/>
    <w:rsid w:val="00BC3024"/>
    <w:rsid w:val="00BC3A38"/>
    <w:rsid w:val="00BC516E"/>
    <w:rsid w:val="00BD1F8A"/>
    <w:rsid w:val="00BD22A8"/>
    <w:rsid w:val="00BD5246"/>
    <w:rsid w:val="00BD5F3E"/>
    <w:rsid w:val="00BD74BD"/>
    <w:rsid w:val="00BE1617"/>
    <w:rsid w:val="00BE1EC6"/>
    <w:rsid w:val="00BE3C25"/>
    <w:rsid w:val="00BE4103"/>
    <w:rsid w:val="00BE4E60"/>
    <w:rsid w:val="00BE715B"/>
    <w:rsid w:val="00BF008D"/>
    <w:rsid w:val="00BF1910"/>
    <w:rsid w:val="00BF2940"/>
    <w:rsid w:val="00BF46BD"/>
    <w:rsid w:val="00BF7DCD"/>
    <w:rsid w:val="00C01F78"/>
    <w:rsid w:val="00C03553"/>
    <w:rsid w:val="00C03893"/>
    <w:rsid w:val="00C05B68"/>
    <w:rsid w:val="00C06D1C"/>
    <w:rsid w:val="00C1042F"/>
    <w:rsid w:val="00C117DE"/>
    <w:rsid w:val="00C129CD"/>
    <w:rsid w:val="00C12F1C"/>
    <w:rsid w:val="00C1645C"/>
    <w:rsid w:val="00C22895"/>
    <w:rsid w:val="00C235F9"/>
    <w:rsid w:val="00C25BF9"/>
    <w:rsid w:val="00C26803"/>
    <w:rsid w:val="00C273B5"/>
    <w:rsid w:val="00C3092D"/>
    <w:rsid w:val="00C30A41"/>
    <w:rsid w:val="00C33705"/>
    <w:rsid w:val="00C34238"/>
    <w:rsid w:val="00C375E0"/>
    <w:rsid w:val="00C40A39"/>
    <w:rsid w:val="00C420DF"/>
    <w:rsid w:val="00C42885"/>
    <w:rsid w:val="00C43B01"/>
    <w:rsid w:val="00C44407"/>
    <w:rsid w:val="00C45924"/>
    <w:rsid w:val="00C501CC"/>
    <w:rsid w:val="00C511C1"/>
    <w:rsid w:val="00C513E2"/>
    <w:rsid w:val="00C518CE"/>
    <w:rsid w:val="00C51A1B"/>
    <w:rsid w:val="00C52EFB"/>
    <w:rsid w:val="00C57EAD"/>
    <w:rsid w:val="00C607B3"/>
    <w:rsid w:val="00C61374"/>
    <w:rsid w:val="00C62B84"/>
    <w:rsid w:val="00C6383C"/>
    <w:rsid w:val="00C66F0A"/>
    <w:rsid w:val="00C674AB"/>
    <w:rsid w:val="00C67876"/>
    <w:rsid w:val="00C704D6"/>
    <w:rsid w:val="00C727AF"/>
    <w:rsid w:val="00C73066"/>
    <w:rsid w:val="00C7407C"/>
    <w:rsid w:val="00C75ACE"/>
    <w:rsid w:val="00C77B45"/>
    <w:rsid w:val="00C8014C"/>
    <w:rsid w:val="00C818E0"/>
    <w:rsid w:val="00C830C2"/>
    <w:rsid w:val="00C84175"/>
    <w:rsid w:val="00C8504B"/>
    <w:rsid w:val="00C868A8"/>
    <w:rsid w:val="00C871E1"/>
    <w:rsid w:val="00C92519"/>
    <w:rsid w:val="00C92687"/>
    <w:rsid w:val="00C93A4F"/>
    <w:rsid w:val="00C961E3"/>
    <w:rsid w:val="00C97B1A"/>
    <w:rsid w:val="00CA176F"/>
    <w:rsid w:val="00CA2290"/>
    <w:rsid w:val="00CA2694"/>
    <w:rsid w:val="00CA3245"/>
    <w:rsid w:val="00CA41C5"/>
    <w:rsid w:val="00CA4503"/>
    <w:rsid w:val="00CA47F7"/>
    <w:rsid w:val="00CA75B3"/>
    <w:rsid w:val="00CB2C64"/>
    <w:rsid w:val="00CB38DD"/>
    <w:rsid w:val="00CB5A15"/>
    <w:rsid w:val="00CB5BA9"/>
    <w:rsid w:val="00CB6937"/>
    <w:rsid w:val="00CB7115"/>
    <w:rsid w:val="00CB7CC8"/>
    <w:rsid w:val="00CB7FD0"/>
    <w:rsid w:val="00CC0EF9"/>
    <w:rsid w:val="00CC2743"/>
    <w:rsid w:val="00CC4007"/>
    <w:rsid w:val="00CC44E4"/>
    <w:rsid w:val="00CC4A22"/>
    <w:rsid w:val="00CC5874"/>
    <w:rsid w:val="00CC66E9"/>
    <w:rsid w:val="00CD0A8E"/>
    <w:rsid w:val="00CD1B21"/>
    <w:rsid w:val="00CD3EC6"/>
    <w:rsid w:val="00CD41D7"/>
    <w:rsid w:val="00CD500D"/>
    <w:rsid w:val="00CD61DC"/>
    <w:rsid w:val="00CD7DDF"/>
    <w:rsid w:val="00CE3C3C"/>
    <w:rsid w:val="00CE4751"/>
    <w:rsid w:val="00CE4A21"/>
    <w:rsid w:val="00CE7377"/>
    <w:rsid w:val="00CF081C"/>
    <w:rsid w:val="00CF0DBE"/>
    <w:rsid w:val="00CF1420"/>
    <w:rsid w:val="00CF4357"/>
    <w:rsid w:val="00CF4A9B"/>
    <w:rsid w:val="00CF6AD1"/>
    <w:rsid w:val="00CF6AFA"/>
    <w:rsid w:val="00D01E43"/>
    <w:rsid w:val="00D025CC"/>
    <w:rsid w:val="00D05869"/>
    <w:rsid w:val="00D0668A"/>
    <w:rsid w:val="00D06E0A"/>
    <w:rsid w:val="00D07927"/>
    <w:rsid w:val="00D1288C"/>
    <w:rsid w:val="00D12AC8"/>
    <w:rsid w:val="00D1419F"/>
    <w:rsid w:val="00D22DBE"/>
    <w:rsid w:val="00D243D1"/>
    <w:rsid w:val="00D252B7"/>
    <w:rsid w:val="00D262A1"/>
    <w:rsid w:val="00D27166"/>
    <w:rsid w:val="00D2732E"/>
    <w:rsid w:val="00D27444"/>
    <w:rsid w:val="00D27562"/>
    <w:rsid w:val="00D27DCA"/>
    <w:rsid w:val="00D337ED"/>
    <w:rsid w:val="00D33D8D"/>
    <w:rsid w:val="00D33F42"/>
    <w:rsid w:val="00D36340"/>
    <w:rsid w:val="00D371B5"/>
    <w:rsid w:val="00D3745E"/>
    <w:rsid w:val="00D3755D"/>
    <w:rsid w:val="00D3794B"/>
    <w:rsid w:val="00D4157F"/>
    <w:rsid w:val="00D42454"/>
    <w:rsid w:val="00D425C2"/>
    <w:rsid w:val="00D4285F"/>
    <w:rsid w:val="00D42EFD"/>
    <w:rsid w:val="00D43CB9"/>
    <w:rsid w:val="00D4407B"/>
    <w:rsid w:val="00D46078"/>
    <w:rsid w:val="00D4711F"/>
    <w:rsid w:val="00D514BB"/>
    <w:rsid w:val="00D51C3A"/>
    <w:rsid w:val="00D5205B"/>
    <w:rsid w:val="00D52845"/>
    <w:rsid w:val="00D54421"/>
    <w:rsid w:val="00D54FD5"/>
    <w:rsid w:val="00D57554"/>
    <w:rsid w:val="00D578E3"/>
    <w:rsid w:val="00D57F57"/>
    <w:rsid w:val="00D60CB3"/>
    <w:rsid w:val="00D6179A"/>
    <w:rsid w:val="00D671E9"/>
    <w:rsid w:val="00D71524"/>
    <w:rsid w:val="00D717D3"/>
    <w:rsid w:val="00D73087"/>
    <w:rsid w:val="00D731A1"/>
    <w:rsid w:val="00D73761"/>
    <w:rsid w:val="00D741EF"/>
    <w:rsid w:val="00D7431B"/>
    <w:rsid w:val="00D75CDC"/>
    <w:rsid w:val="00D77EA8"/>
    <w:rsid w:val="00D83CC7"/>
    <w:rsid w:val="00D8409D"/>
    <w:rsid w:val="00D84E7E"/>
    <w:rsid w:val="00D86C72"/>
    <w:rsid w:val="00D90DB4"/>
    <w:rsid w:val="00D92049"/>
    <w:rsid w:val="00D92B05"/>
    <w:rsid w:val="00D938F6"/>
    <w:rsid w:val="00D97377"/>
    <w:rsid w:val="00D97554"/>
    <w:rsid w:val="00DA04C0"/>
    <w:rsid w:val="00DA083A"/>
    <w:rsid w:val="00DA1807"/>
    <w:rsid w:val="00DA38C4"/>
    <w:rsid w:val="00DA3BB6"/>
    <w:rsid w:val="00DA4167"/>
    <w:rsid w:val="00DA57F5"/>
    <w:rsid w:val="00DA5807"/>
    <w:rsid w:val="00DB04ED"/>
    <w:rsid w:val="00DB1EF7"/>
    <w:rsid w:val="00DB1F01"/>
    <w:rsid w:val="00DB3012"/>
    <w:rsid w:val="00DB38F5"/>
    <w:rsid w:val="00DB3A3F"/>
    <w:rsid w:val="00DB418C"/>
    <w:rsid w:val="00DB667E"/>
    <w:rsid w:val="00DB72EB"/>
    <w:rsid w:val="00DB74DA"/>
    <w:rsid w:val="00DC0155"/>
    <w:rsid w:val="00DC19AC"/>
    <w:rsid w:val="00DC34FB"/>
    <w:rsid w:val="00DC4BBE"/>
    <w:rsid w:val="00DC70A2"/>
    <w:rsid w:val="00DC7619"/>
    <w:rsid w:val="00DD09C0"/>
    <w:rsid w:val="00DD1316"/>
    <w:rsid w:val="00DD1C6D"/>
    <w:rsid w:val="00DD523E"/>
    <w:rsid w:val="00DD5561"/>
    <w:rsid w:val="00DD5718"/>
    <w:rsid w:val="00DD6F23"/>
    <w:rsid w:val="00DE0825"/>
    <w:rsid w:val="00DE0917"/>
    <w:rsid w:val="00DE1506"/>
    <w:rsid w:val="00DE1E9F"/>
    <w:rsid w:val="00DE2032"/>
    <w:rsid w:val="00DE3CA6"/>
    <w:rsid w:val="00DE5E58"/>
    <w:rsid w:val="00DF1062"/>
    <w:rsid w:val="00DF149A"/>
    <w:rsid w:val="00DF39C3"/>
    <w:rsid w:val="00DF39F6"/>
    <w:rsid w:val="00DF5D1A"/>
    <w:rsid w:val="00DF64BC"/>
    <w:rsid w:val="00DF6D71"/>
    <w:rsid w:val="00DF7F64"/>
    <w:rsid w:val="00E017E9"/>
    <w:rsid w:val="00E01E8B"/>
    <w:rsid w:val="00E02075"/>
    <w:rsid w:val="00E0247B"/>
    <w:rsid w:val="00E028AA"/>
    <w:rsid w:val="00E03D21"/>
    <w:rsid w:val="00E03D97"/>
    <w:rsid w:val="00E04E85"/>
    <w:rsid w:val="00E05197"/>
    <w:rsid w:val="00E051C6"/>
    <w:rsid w:val="00E05D63"/>
    <w:rsid w:val="00E069EC"/>
    <w:rsid w:val="00E11FFC"/>
    <w:rsid w:val="00E14674"/>
    <w:rsid w:val="00E14E84"/>
    <w:rsid w:val="00E150E2"/>
    <w:rsid w:val="00E15685"/>
    <w:rsid w:val="00E15695"/>
    <w:rsid w:val="00E158B9"/>
    <w:rsid w:val="00E15E48"/>
    <w:rsid w:val="00E20B34"/>
    <w:rsid w:val="00E20FC3"/>
    <w:rsid w:val="00E22C87"/>
    <w:rsid w:val="00E248B5"/>
    <w:rsid w:val="00E250AE"/>
    <w:rsid w:val="00E26FF5"/>
    <w:rsid w:val="00E27423"/>
    <w:rsid w:val="00E27C57"/>
    <w:rsid w:val="00E30BDF"/>
    <w:rsid w:val="00E318C5"/>
    <w:rsid w:val="00E32048"/>
    <w:rsid w:val="00E324F1"/>
    <w:rsid w:val="00E32F32"/>
    <w:rsid w:val="00E37BE4"/>
    <w:rsid w:val="00E40A85"/>
    <w:rsid w:val="00E421BA"/>
    <w:rsid w:val="00E44C87"/>
    <w:rsid w:val="00E45934"/>
    <w:rsid w:val="00E46578"/>
    <w:rsid w:val="00E46B14"/>
    <w:rsid w:val="00E505D1"/>
    <w:rsid w:val="00E50DA6"/>
    <w:rsid w:val="00E513E6"/>
    <w:rsid w:val="00E51DF7"/>
    <w:rsid w:val="00E523CD"/>
    <w:rsid w:val="00E52B23"/>
    <w:rsid w:val="00E52C2F"/>
    <w:rsid w:val="00E53357"/>
    <w:rsid w:val="00E54621"/>
    <w:rsid w:val="00E565AF"/>
    <w:rsid w:val="00E56E40"/>
    <w:rsid w:val="00E56E7E"/>
    <w:rsid w:val="00E56F71"/>
    <w:rsid w:val="00E576F2"/>
    <w:rsid w:val="00E57AA9"/>
    <w:rsid w:val="00E57DAB"/>
    <w:rsid w:val="00E61ACD"/>
    <w:rsid w:val="00E62D06"/>
    <w:rsid w:val="00E637B4"/>
    <w:rsid w:val="00E65A27"/>
    <w:rsid w:val="00E66711"/>
    <w:rsid w:val="00E67FAD"/>
    <w:rsid w:val="00E71AAC"/>
    <w:rsid w:val="00E72924"/>
    <w:rsid w:val="00E733B9"/>
    <w:rsid w:val="00E77758"/>
    <w:rsid w:val="00E7775D"/>
    <w:rsid w:val="00E825E3"/>
    <w:rsid w:val="00E8357E"/>
    <w:rsid w:val="00E856B1"/>
    <w:rsid w:val="00E874E5"/>
    <w:rsid w:val="00E900DB"/>
    <w:rsid w:val="00E90592"/>
    <w:rsid w:val="00E90762"/>
    <w:rsid w:val="00E9333A"/>
    <w:rsid w:val="00E94BAE"/>
    <w:rsid w:val="00E95193"/>
    <w:rsid w:val="00E95614"/>
    <w:rsid w:val="00E95CF7"/>
    <w:rsid w:val="00E96796"/>
    <w:rsid w:val="00EA1204"/>
    <w:rsid w:val="00EA240A"/>
    <w:rsid w:val="00EA35A6"/>
    <w:rsid w:val="00EA3E24"/>
    <w:rsid w:val="00EA45C8"/>
    <w:rsid w:val="00EA46A4"/>
    <w:rsid w:val="00EA6E58"/>
    <w:rsid w:val="00EA72FF"/>
    <w:rsid w:val="00EB123A"/>
    <w:rsid w:val="00EB12DC"/>
    <w:rsid w:val="00EB2DAC"/>
    <w:rsid w:val="00EB3111"/>
    <w:rsid w:val="00EB3352"/>
    <w:rsid w:val="00EB3B9F"/>
    <w:rsid w:val="00EB3BA3"/>
    <w:rsid w:val="00EB3EA8"/>
    <w:rsid w:val="00EB461E"/>
    <w:rsid w:val="00EB4858"/>
    <w:rsid w:val="00EB4BC2"/>
    <w:rsid w:val="00EB5EA2"/>
    <w:rsid w:val="00EB6F40"/>
    <w:rsid w:val="00EC1045"/>
    <w:rsid w:val="00EC4270"/>
    <w:rsid w:val="00EC466A"/>
    <w:rsid w:val="00EC5BF4"/>
    <w:rsid w:val="00EC7B28"/>
    <w:rsid w:val="00ED0003"/>
    <w:rsid w:val="00ED04C4"/>
    <w:rsid w:val="00ED1208"/>
    <w:rsid w:val="00ED134E"/>
    <w:rsid w:val="00ED14E7"/>
    <w:rsid w:val="00ED20B9"/>
    <w:rsid w:val="00ED2D55"/>
    <w:rsid w:val="00ED3EDA"/>
    <w:rsid w:val="00ED4553"/>
    <w:rsid w:val="00ED45C1"/>
    <w:rsid w:val="00ED599F"/>
    <w:rsid w:val="00EE2908"/>
    <w:rsid w:val="00EE4AE7"/>
    <w:rsid w:val="00EE4F2F"/>
    <w:rsid w:val="00EE5A10"/>
    <w:rsid w:val="00EE6E7C"/>
    <w:rsid w:val="00EE7908"/>
    <w:rsid w:val="00EE7F6F"/>
    <w:rsid w:val="00EF0066"/>
    <w:rsid w:val="00EF008E"/>
    <w:rsid w:val="00EF0553"/>
    <w:rsid w:val="00EF2B7F"/>
    <w:rsid w:val="00EF56E0"/>
    <w:rsid w:val="00EF5A7A"/>
    <w:rsid w:val="00EF7094"/>
    <w:rsid w:val="00EF7BC1"/>
    <w:rsid w:val="00F04772"/>
    <w:rsid w:val="00F05C4C"/>
    <w:rsid w:val="00F077BF"/>
    <w:rsid w:val="00F07DD1"/>
    <w:rsid w:val="00F1041D"/>
    <w:rsid w:val="00F10CAF"/>
    <w:rsid w:val="00F1284E"/>
    <w:rsid w:val="00F13938"/>
    <w:rsid w:val="00F14350"/>
    <w:rsid w:val="00F15271"/>
    <w:rsid w:val="00F205E7"/>
    <w:rsid w:val="00F24B00"/>
    <w:rsid w:val="00F26114"/>
    <w:rsid w:val="00F27144"/>
    <w:rsid w:val="00F30E72"/>
    <w:rsid w:val="00F314FF"/>
    <w:rsid w:val="00F31AA7"/>
    <w:rsid w:val="00F31BE4"/>
    <w:rsid w:val="00F35728"/>
    <w:rsid w:val="00F366BD"/>
    <w:rsid w:val="00F40BBC"/>
    <w:rsid w:val="00F41584"/>
    <w:rsid w:val="00F43D44"/>
    <w:rsid w:val="00F44932"/>
    <w:rsid w:val="00F450CB"/>
    <w:rsid w:val="00F4674B"/>
    <w:rsid w:val="00F50543"/>
    <w:rsid w:val="00F51342"/>
    <w:rsid w:val="00F55E0E"/>
    <w:rsid w:val="00F571E7"/>
    <w:rsid w:val="00F604BF"/>
    <w:rsid w:val="00F61D59"/>
    <w:rsid w:val="00F63DDE"/>
    <w:rsid w:val="00F6689E"/>
    <w:rsid w:val="00F74F41"/>
    <w:rsid w:val="00F754A4"/>
    <w:rsid w:val="00F769C7"/>
    <w:rsid w:val="00F76FCA"/>
    <w:rsid w:val="00F777A2"/>
    <w:rsid w:val="00F77DEF"/>
    <w:rsid w:val="00F80CE8"/>
    <w:rsid w:val="00F815F6"/>
    <w:rsid w:val="00F8184B"/>
    <w:rsid w:val="00F82816"/>
    <w:rsid w:val="00F8420D"/>
    <w:rsid w:val="00F8423A"/>
    <w:rsid w:val="00F84B50"/>
    <w:rsid w:val="00F876D2"/>
    <w:rsid w:val="00F9028D"/>
    <w:rsid w:val="00F91458"/>
    <w:rsid w:val="00F9215B"/>
    <w:rsid w:val="00F92D79"/>
    <w:rsid w:val="00F9325D"/>
    <w:rsid w:val="00FA0400"/>
    <w:rsid w:val="00FA1D2A"/>
    <w:rsid w:val="00FA355B"/>
    <w:rsid w:val="00FB079E"/>
    <w:rsid w:val="00FB1A20"/>
    <w:rsid w:val="00FB2B01"/>
    <w:rsid w:val="00FB3606"/>
    <w:rsid w:val="00FB45E6"/>
    <w:rsid w:val="00FB4E3E"/>
    <w:rsid w:val="00FB565D"/>
    <w:rsid w:val="00FB60CF"/>
    <w:rsid w:val="00FB7AFC"/>
    <w:rsid w:val="00FB7F55"/>
    <w:rsid w:val="00FC0678"/>
    <w:rsid w:val="00FC2B4B"/>
    <w:rsid w:val="00FC2F69"/>
    <w:rsid w:val="00FC3DB4"/>
    <w:rsid w:val="00FC4D9C"/>
    <w:rsid w:val="00FC5758"/>
    <w:rsid w:val="00FC648B"/>
    <w:rsid w:val="00FC72D0"/>
    <w:rsid w:val="00FC7699"/>
    <w:rsid w:val="00FD045F"/>
    <w:rsid w:val="00FD0558"/>
    <w:rsid w:val="00FD0E43"/>
    <w:rsid w:val="00FD19F3"/>
    <w:rsid w:val="00FD2389"/>
    <w:rsid w:val="00FD31EA"/>
    <w:rsid w:val="00FD5BD9"/>
    <w:rsid w:val="00FD7057"/>
    <w:rsid w:val="00FE09E2"/>
    <w:rsid w:val="00FE0B79"/>
    <w:rsid w:val="00FE0C89"/>
    <w:rsid w:val="00FE2394"/>
    <w:rsid w:val="00FE487C"/>
    <w:rsid w:val="00FE5467"/>
    <w:rsid w:val="00FE56C5"/>
    <w:rsid w:val="00FE61CA"/>
    <w:rsid w:val="00FE6B4A"/>
    <w:rsid w:val="00FF0C67"/>
    <w:rsid w:val="00FF1007"/>
    <w:rsid w:val="00FF2657"/>
    <w:rsid w:val="00FF26C2"/>
    <w:rsid w:val="00FF37D5"/>
    <w:rsid w:val="00FF6BAD"/>
    <w:rsid w:val="00FF788E"/>
    <w:rsid w:val="00FF78C4"/>
    <w:rsid w:val="011A73C1"/>
    <w:rsid w:val="039B64F5"/>
    <w:rsid w:val="0CE42333"/>
    <w:rsid w:val="0E8E0430"/>
    <w:rsid w:val="0F195323"/>
    <w:rsid w:val="110B6655"/>
    <w:rsid w:val="11110188"/>
    <w:rsid w:val="18D47E8C"/>
    <w:rsid w:val="1C4F3E3D"/>
    <w:rsid w:val="27191E92"/>
    <w:rsid w:val="278028E2"/>
    <w:rsid w:val="2A641060"/>
    <w:rsid w:val="2A646A7F"/>
    <w:rsid w:val="2BC00DB1"/>
    <w:rsid w:val="2FB01153"/>
    <w:rsid w:val="30530FB3"/>
    <w:rsid w:val="360B518A"/>
    <w:rsid w:val="375E2533"/>
    <w:rsid w:val="38C72C70"/>
    <w:rsid w:val="38F21E8A"/>
    <w:rsid w:val="3AD36B60"/>
    <w:rsid w:val="3B6206F4"/>
    <w:rsid w:val="3C7D200B"/>
    <w:rsid w:val="428669A9"/>
    <w:rsid w:val="473A1D50"/>
    <w:rsid w:val="498E3B29"/>
    <w:rsid w:val="4C304AE1"/>
    <w:rsid w:val="4D335245"/>
    <w:rsid w:val="50B8644E"/>
    <w:rsid w:val="51743C60"/>
    <w:rsid w:val="52023D92"/>
    <w:rsid w:val="530F63AB"/>
    <w:rsid w:val="54582BF9"/>
    <w:rsid w:val="55884E55"/>
    <w:rsid w:val="59A32512"/>
    <w:rsid w:val="59D477F0"/>
    <w:rsid w:val="5EE254D9"/>
    <w:rsid w:val="60261F58"/>
    <w:rsid w:val="615F721D"/>
    <w:rsid w:val="620E2950"/>
    <w:rsid w:val="64F0083A"/>
    <w:rsid w:val="6D382986"/>
    <w:rsid w:val="734E3E76"/>
    <w:rsid w:val="776C512E"/>
    <w:rsid w:val="79BB59DD"/>
    <w:rsid w:val="7A846609"/>
    <w:rsid w:val="7B2647C8"/>
    <w:rsid w:val="7C5571B2"/>
    <w:rsid w:val="7CB06FFB"/>
    <w:rsid w:val="7D433098"/>
    <w:rsid w:val="7FCA53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1" w:semiHidden="0" w:name="toc 3"/>
    <w:lsdException w:qFormat="1" w:uiPriority="1"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qFormat="1" w:unhideWhenUsed="0" w:uiPriority="99"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pacing w:line="520" w:lineRule="exact"/>
      <w:ind w:firstLine="200" w:firstLineChars="200"/>
      <w:jc w:val="both"/>
      <w:textAlignment w:val="baseline"/>
    </w:pPr>
    <w:rPr>
      <w:rFonts w:ascii="Times New Roman" w:hAnsi="Times New Roman" w:eastAsia="仿宋_GB2312" w:cs="Times New Roman"/>
      <w:sz w:val="30"/>
      <w:lang w:val="en-US" w:eastAsia="zh-CN" w:bidi="ar-SA"/>
    </w:rPr>
  </w:style>
  <w:style w:type="paragraph" w:styleId="3">
    <w:name w:val="heading 1"/>
    <w:basedOn w:val="1"/>
    <w:next w:val="1"/>
    <w:link w:val="56"/>
    <w:autoRedefine/>
    <w:qFormat/>
    <w:uiPriority w:val="99"/>
    <w:pPr>
      <w:keepNext/>
      <w:keepLines/>
      <w:adjustRightInd/>
      <w:spacing w:after="240"/>
      <w:ind w:firstLine="0" w:firstLineChars="0"/>
      <w:jc w:val="center"/>
      <w:textAlignment w:val="auto"/>
      <w:outlineLvl w:val="0"/>
    </w:pPr>
    <w:rPr>
      <w:rFonts w:eastAsia="方正小标宋简体"/>
      <w:kern w:val="44"/>
      <w:sz w:val="36"/>
      <w:szCs w:val="44"/>
    </w:rPr>
  </w:style>
  <w:style w:type="paragraph" w:styleId="4">
    <w:name w:val="heading 2"/>
    <w:basedOn w:val="1"/>
    <w:next w:val="1"/>
    <w:link w:val="57"/>
    <w:autoRedefine/>
    <w:qFormat/>
    <w:uiPriority w:val="0"/>
    <w:pPr>
      <w:keepNext/>
      <w:keepLines/>
      <w:adjustRightInd/>
      <w:ind w:hanging="567"/>
      <w:textAlignment w:val="auto"/>
      <w:outlineLvl w:val="1"/>
    </w:pPr>
    <w:rPr>
      <w:rFonts w:eastAsia="黑体"/>
      <w:bCs/>
      <w:kern w:val="2"/>
      <w:sz w:val="28"/>
      <w:szCs w:val="28"/>
    </w:rPr>
  </w:style>
  <w:style w:type="paragraph" w:styleId="5">
    <w:name w:val="heading 3"/>
    <w:basedOn w:val="1"/>
    <w:next w:val="1"/>
    <w:link w:val="58"/>
    <w:autoRedefine/>
    <w:qFormat/>
    <w:uiPriority w:val="0"/>
    <w:pPr>
      <w:keepNext/>
      <w:keepLines/>
      <w:adjustRightInd/>
      <w:spacing w:before="160" w:after="160" w:line="240" w:lineRule="auto"/>
      <w:textAlignment w:val="auto"/>
      <w:outlineLvl w:val="2"/>
    </w:pPr>
    <w:rPr>
      <w:rFonts w:ascii="黑体" w:hAnsi="黑体" w:eastAsia="黑体"/>
      <w:b/>
      <w:bCs/>
      <w:kern w:val="2"/>
      <w:sz w:val="28"/>
      <w:szCs w:val="28"/>
    </w:rPr>
  </w:style>
  <w:style w:type="paragraph" w:styleId="6">
    <w:name w:val="heading 4"/>
    <w:basedOn w:val="1"/>
    <w:next w:val="1"/>
    <w:link w:val="59"/>
    <w:qFormat/>
    <w:uiPriority w:val="0"/>
    <w:pPr>
      <w:keepNext/>
      <w:keepLines/>
      <w:numPr>
        <w:ilvl w:val="3"/>
        <w:numId w:val="1"/>
      </w:numPr>
      <w:adjustRightInd/>
      <w:spacing w:before="280" w:after="290" w:line="377" w:lineRule="auto"/>
      <w:jc w:val="left"/>
      <w:textAlignment w:val="auto"/>
      <w:outlineLvl w:val="3"/>
    </w:pPr>
    <w:rPr>
      <w:rFonts w:eastAsia="楷体_GB2312"/>
      <w:b/>
      <w:bCs/>
      <w:kern w:val="2"/>
      <w:sz w:val="24"/>
      <w:szCs w:val="24"/>
    </w:rPr>
  </w:style>
  <w:style w:type="paragraph" w:styleId="7">
    <w:name w:val="heading 5"/>
    <w:basedOn w:val="1"/>
    <w:next w:val="1"/>
    <w:link w:val="60"/>
    <w:autoRedefine/>
    <w:qFormat/>
    <w:uiPriority w:val="9"/>
    <w:pPr>
      <w:keepNext/>
      <w:keepLines/>
      <w:numPr>
        <w:ilvl w:val="4"/>
        <w:numId w:val="1"/>
      </w:numPr>
      <w:adjustRightInd/>
      <w:spacing w:before="280" w:after="290" w:line="376" w:lineRule="auto"/>
      <w:textAlignment w:val="auto"/>
      <w:outlineLvl w:val="4"/>
    </w:pPr>
    <w:rPr>
      <w:rFonts w:eastAsia="楷体_GB2312"/>
      <w:bCs/>
      <w:kern w:val="2"/>
      <w:sz w:val="24"/>
      <w:szCs w:val="28"/>
    </w:rPr>
  </w:style>
  <w:style w:type="paragraph" w:styleId="8">
    <w:name w:val="heading 6"/>
    <w:basedOn w:val="1"/>
    <w:next w:val="1"/>
    <w:link w:val="61"/>
    <w:autoRedefine/>
    <w:qFormat/>
    <w:uiPriority w:val="9"/>
    <w:pPr>
      <w:keepNext/>
      <w:keepLines/>
      <w:numPr>
        <w:ilvl w:val="5"/>
        <w:numId w:val="1"/>
      </w:numPr>
      <w:adjustRightInd/>
      <w:spacing w:before="240" w:after="64" w:line="320" w:lineRule="auto"/>
      <w:textAlignment w:val="auto"/>
      <w:outlineLvl w:val="5"/>
    </w:pPr>
    <w:rPr>
      <w:rFonts w:ascii="Arial" w:hAnsi="Arial" w:eastAsia="黑体"/>
      <w:bCs/>
      <w:kern w:val="2"/>
      <w:szCs w:val="21"/>
    </w:rPr>
  </w:style>
  <w:style w:type="paragraph" w:styleId="9">
    <w:name w:val="heading 7"/>
    <w:basedOn w:val="1"/>
    <w:next w:val="1"/>
    <w:link w:val="62"/>
    <w:autoRedefine/>
    <w:qFormat/>
    <w:uiPriority w:val="0"/>
    <w:pPr>
      <w:keepNext/>
      <w:keepLines/>
      <w:numPr>
        <w:ilvl w:val="6"/>
        <w:numId w:val="1"/>
      </w:numPr>
      <w:adjustRightInd/>
      <w:spacing w:before="240" w:after="64" w:line="320" w:lineRule="auto"/>
      <w:textAlignment w:val="auto"/>
      <w:outlineLvl w:val="6"/>
    </w:pPr>
    <w:rPr>
      <w:b/>
      <w:bCs/>
      <w:kern w:val="2"/>
      <w:sz w:val="24"/>
      <w:szCs w:val="24"/>
    </w:rPr>
  </w:style>
  <w:style w:type="paragraph" w:styleId="10">
    <w:name w:val="heading 8"/>
    <w:basedOn w:val="1"/>
    <w:next w:val="1"/>
    <w:link w:val="63"/>
    <w:autoRedefine/>
    <w:qFormat/>
    <w:uiPriority w:val="0"/>
    <w:pPr>
      <w:keepNext/>
      <w:keepLines/>
      <w:numPr>
        <w:ilvl w:val="7"/>
        <w:numId w:val="1"/>
      </w:numPr>
      <w:adjustRightInd/>
      <w:spacing w:before="240" w:after="64" w:line="320" w:lineRule="auto"/>
      <w:textAlignment w:val="auto"/>
      <w:outlineLvl w:val="7"/>
    </w:pPr>
    <w:rPr>
      <w:rFonts w:ascii="Arial" w:hAnsi="Arial" w:eastAsia="黑体"/>
      <w:kern w:val="2"/>
      <w:sz w:val="24"/>
      <w:szCs w:val="24"/>
    </w:rPr>
  </w:style>
  <w:style w:type="paragraph" w:styleId="11">
    <w:name w:val="heading 9"/>
    <w:basedOn w:val="1"/>
    <w:next w:val="1"/>
    <w:link w:val="64"/>
    <w:autoRedefine/>
    <w:qFormat/>
    <w:uiPriority w:val="0"/>
    <w:pPr>
      <w:keepNext/>
      <w:keepLines/>
      <w:numPr>
        <w:ilvl w:val="8"/>
        <w:numId w:val="1"/>
      </w:numPr>
      <w:adjustRightInd/>
      <w:spacing w:before="240" w:after="64" w:line="320" w:lineRule="auto"/>
      <w:textAlignment w:val="auto"/>
      <w:outlineLvl w:val="8"/>
    </w:pPr>
    <w:rPr>
      <w:rFonts w:ascii="Arial" w:hAnsi="Arial" w:eastAsia="黑体"/>
      <w:kern w:val="2"/>
      <w:szCs w:val="21"/>
    </w:rPr>
  </w:style>
  <w:style w:type="character" w:default="1" w:styleId="46">
    <w:name w:val="Default Paragraph Font"/>
    <w:autoRedefine/>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5"/>
    <w:qFormat/>
    <w:uiPriority w:val="99"/>
    <w:pPr>
      <w:adjustRightInd/>
      <w:spacing w:after="120" w:line="240" w:lineRule="auto"/>
      <w:textAlignment w:val="auto"/>
    </w:pPr>
    <w:rPr>
      <w:kern w:val="2"/>
      <w:szCs w:val="24"/>
    </w:rPr>
  </w:style>
  <w:style w:type="paragraph" w:styleId="12">
    <w:name w:val="toc 7"/>
    <w:basedOn w:val="1"/>
    <w:next w:val="1"/>
    <w:unhideWhenUsed/>
    <w:qFormat/>
    <w:uiPriority w:val="39"/>
    <w:pPr>
      <w:ind w:left="1260"/>
      <w:jc w:val="left"/>
    </w:pPr>
    <w:rPr>
      <w:rFonts w:asciiTheme="minorHAnsi" w:hAnsiTheme="minorHAnsi"/>
      <w:sz w:val="18"/>
      <w:szCs w:val="18"/>
    </w:rPr>
  </w:style>
  <w:style w:type="paragraph" w:styleId="13">
    <w:name w:val="Normal Indent"/>
    <w:basedOn w:val="1"/>
    <w:link w:val="232"/>
    <w:qFormat/>
    <w:uiPriority w:val="0"/>
    <w:pPr>
      <w:ind w:firstLine="420"/>
    </w:pPr>
  </w:style>
  <w:style w:type="paragraph" w:styleId="14">
    <w:name w:val="caption"/>
    <w:basedOn w:val="1"/>
    <w:next w:val="1"/>
    <w:unhideWhenUsed/>
    <w:qFormat/>
    <w:uiPriority w:val="0"/>
    <w:rPr>
      <w:rFonts w:eastAsia="黑体" w:asciiTheme="majorHAnsi" w:hAnsiTheme="majorHAnsi" w:cstheme="majorBidi"/>
      <w:sz w:val="20"/>
    </w:rPr>
  </w:style>
  <w:style w:type="paragraph" w:styleId="15">
    <w:name w:val="Document Map"/>
    <w:basedOn w:val="1"/>
    <w:link w:val="65"/>
    <w:qFormat/>
    <w:uiPriority w:val="0"/>
    <w:pPr>
      <w:shd w:val="clear" w:color="auto" w:fill="000080"/>
    </w:pPr>
  </w:style>
  <w:style w:type="paragraph" w:styleId="16">
    <w:name w:val="annotation text"/>
    <w:basedOn w:val="1"/>
    <w:link w:val="66"/>
    <w:qFormat/>
    <w:uiPriority w:val="99"/>
    <w:pPr>
      <w:adjustRightInd/>
      <w:spacing w:line="240" w:lineRule="auto"/>
      <w:jc w:val="left"/>
      <w:textAlignment w:val="auto"/>
    </w:pPr>
    <w:rPr>
      <w:kern w:val="2"/>
    </w:rPr>
  </w:style>
  <w:style w:type="paragraph" w:styleId="17">
    <w:name w:val="Salutation"/>
    <w:basedOn w:val="1"/>
    <w:next w:val="1"/>
    <w:link w:val="217"/>
    <w:qFormat/>
    <w:uiPriority w:val="0"/>
    <w:pPr>
      <w:adjustRightInd/>
      <w:ind w:firstLine="640"/>
      <w:textAlignment w:val="auto"/>
    </w:pPr>
    <w:rPr>
      <w:rFonts w:eastAsia="宋体"/>
      <w:kern w:val="2"/>
      <w:sz w:val="24"/>
      <w:szCs w:val="24"/>
    </w:rPr>
  </w:style>
  <w:style w:type="paragraph" w:styleId="18">
    <w:name w:val="Body Text Indent"/>
    <w:basedOn w:val="1"/>
    <w:link w:val="67"/>
    <w:qFormat/>
    <w:uiPriority w:val="0"/>
    <w:pPr>
      <w:ind w:firstLine="470" w:firstLineChars="196"/>
    </w:pPr>
    <w:rPr>
      <w:rFonts w:ascii="仿宋_GB2312" w:hAnsi="宋体"/>
      <w:snapToGrid w:val="0"/>
      <w:sz w:val="24"/>
      <w:szCs w:val="24"/>
    </w:rPr>
  </w:style>
  <w:style w:type="paragraph" w:styleId="19">
    <w:name w:val="toc 5"/>
    <w:basedOn w:val="1"/>
    <w:next w:val="1"/>
    <w:unhideWhenUsed/>
    <w:qFormat/>
    <w:uiPriority w:val="39"/>
    <w:pPr>
      <w:ind w:left="840"/>
      <w:jc w:val="left"/>
    </w:pPr>
    <w:rPr>
      <w:rFonts w:asciiTheme="minorHAnsi" w:hAnsiTheme="minorHAnsi"/>
      <w:sz w:val="18"/>
      <w:szCs w:val="18"/>
    </w:rPr>
  </w:style>
  <w:style w:type="paragraph" w:styleId="20">
    <w:name w:val="toc 3"/>
    <w:basedOn w:val="1"/>
    <w:next w:val="1"/>
    <w:qFormat/>
    <w:uiPriority w:val="1"/>
    <w:pPr>
      <w:ind w:left="420"/>
      <w:jc w:val="left"/>
    </w:pPr>
    <w:rPr>
      <w:rFonts w:asciiTheme="minorHAnsi" w:hAnsiTheme="minorHAnsi"/>
      <w:i/>
      <w:iCs/>
      <w:sz w:val="20"/>
    </w:rPr>
  </w:style>
  <w:style w:type="paragraph" w:styleId="21">
    <w:name w:val="Plain Text"/>
    <w:basedOn w:val="1"/>
    <w:link w:val="68"/>
    <w:qFormat/>
    <w:uiPriority w:val="0"/>
    <w:pPr>
      <w:adjustRightInd/>
      <w:textAlignment w:val="auto"/>
    </w:pPr>
    <w:rPr>
      <w:rFonts w:ascii="宋体" w:hAnsi="Courier New"/>
      <w:kern w:val="2"/>
      <w:sz w:val="28"/>
      <w:szCs w:val="28"/>
    </w:rPr>
  </w:style>
  <w:style w:type="paragraph" w:styleId="22">
    <w:name w:val="toc 8"/>
    <w:basedOn w:val="1"/>
    <w:next w:val="1"/>
    <w:unhideWhenUsed/>
    <w:qFormat/>
    <w:uiPriority w:val="39"/>
    <w:pPr>
      <w:ind w:left="1470"/>
      <w:jc w:val="left"/>
    </w:pPr>
    <w:rPr>
      <w:rFonts w:asciiTheme="minorHAnsi" w:hAnsiTheme="minorHAnsi"/>
      <w:sz w:val="18"/>
      <w:szCs w:val="18"/>
    </w:rPr>
  </w:style>
  <w:style w:type="paragraph" w:styleId="23">
    <w:name w:val="Date"/>
    <w:basedOn w:val="1"/>
    <w:next w:val="1"/>
    <w:link w:val="69"/>
    <w:qFormat/>
    <w:uiPriority w:val="0"/>
    <w:pPr>
      <w:adjustRightInd/>
      <w:spacing w:line="240" w:lineRule="auto"/>
      <w:textAlignment w:val="auto"/>
    </w:pPr>
    <w:rPr>
      <w:rFonts w:ascii="宋体"/>
      <w:kern w:val="2"/>
      <w:sz w:val="24"/>
    </w:rPr>
  </w:style>
  <w:style w:type="paragraph" w:styleId="24">
    <w:name w:val="Body Text Indent 2"/>
    <w:basedOn w:val="1"/>
    <w:link w:val="70"/>
    <w:qFormat/>
    <w:uiPriority w:val="0"/>
    <w:pPr>
      <w:adjustRightInd/>
      <w:spacing w:line="324" w:lineRule="auto"/>
      <w:ind w:firstLine="570"/>
      <w:textAlignment w:val="auto"/>
    </w:pPr>
    <w:rPr>
      <w:snapToGrid w:val="0"/>
      <w:kern w:val="28"/>
      <w:sz w:val="28"/>
      <w:szCs w:val="24"/>
    </w:rPr>
  </w:style>
  <w:style w:type="paragraph" w:styleId="25">
    <w:name w:val="endnote text"/>
    <w:basedOn w:val="1"/>
    <w:link w:val="229"/>
    <w:qFormat/>
    <w:uiPriority w:val="0"/>
    <w:pPr>
      <w:adjustRightInd/>
      <w:snapToGrid w:val="0"/>
      <w:jc w:val="left"/>
      <w:textAlignment w:val="auto"/>
    </w:pPr>
    <w:rPr>
      <w:rFonts w:ascii="宋体-方正超大字符集" w:eastAsia="宋体-方正超大字符集" w:cs="宋体-方正超大字符集"/>
      <w:kern w:val="2"/>
      <w:sz w:val="24"/>
      <w:szCs w:val="24"/>
    </w:rPr>
  </w:style>
  <w:style w:type="paragraph" w:styleId="26">
    <w:name w:val="Balloon Text"/>
    <w:basedOn w:val="1"/>
    <w:link w:val="71"/>
    <w:qFormat/>
    <w:uiPriority w:val="99"/>
    <w:rPr>
      <w:sz w:val="18"/>
      <w:szCs w:val="18"/>
    </w:rPr>
  </w:style>
  <w:style w:type="paragraph" w:styleId="27">
    <w:name w:val="footer"/>
    <w:basedOn w:val="1"/>
    <w:link w:val="72"/>
    <w:qFormat/>
    <w:uiPriority w:val="0"/>
    <w:pPr>
      <w:tabs>
        <w:tab w:val="center" w:pos="4320"/>
        <w:tab w:val="right" w:pos="8640"/>
      </w:tabs>
      <w:spacing w:line="240" w:lineRule="atLeast"/>
      <w:jc w:val="left"/>
    </w:pPr>
    <w:rPr>
      <w:sz w:val="18"/>
    </w:rPr>
  </w:style>
  <w:style w:type="paragraph" w:styleId="28">
    <w:name w:val="header"/>
    <w:basedOn w:val="1"/>
    <w:link w:val="73"/>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9">
    <w:name w:val="toc 1"/>
    <w:basedOn w:val="1"/>
    <w:next w:val="1"/>
    <w:qFormat/>
    <w:uiPriority w:val="39"/>
    <w:pPr>
      <w:spacing w:before="120" w:after="120"/>
      <w:jc w:val="left"/>
    </w:pPr>
    <w:rPr>
      <w:rFonts w:asciiTheme="minorHAnsi" w:hAnsiTheme="minorHAnsi"/>
      <w:b/>
      <w:bCs/>
      <w:caps/>
      <w:sz w:val="20"/>
    </w:rPr>
  </w:style>
  <w:style w:type="paragraph" w:styleId="30">
    <w:name w:val="toc 4"/>
    <w:basedOn w:val="1"/>
    <w:next w:val="1"/>
    <w:unhideWhenUsed/>
    <w:qFormat/>
    <w:uiPriority w:val="1"/>
    <w:pPr>
      <w:ind w:left="630"/>
      <w:jc w:val="left"/>
    </w:pPr>
    <w:rPr>
      <w:rFonts w:asciiTheme="minorHAnsi" w:hAnsiTheme="minorHAnsi"/>
      <w:sz w:val="18"/>
      <w:szCs w:val="18"/>
    </w:rPr>
  </w:style>
  <w:style w:type="paragraph" w:styleId="31">
    <w:name w:val="footnote text"/>
    <w:basedOn w:val="1"/>
    <w:link w:val="234"/>
    <w:qFormat/>
    <w:uiPriority w:val="99"/>
    <w:pPr>
      <w:adjustRightInd/>
      <w:snapToGrid w:val="0"/>
      <w:jc w:val="left"/>
      <w:textAlignment w:val="auto"/>
    </w:pPr>
    <w:rPr>
      <w:rFonts w:ascii="宋体-方正超大字符集" w:eastAsia="宋体-方正超大字符集" w:cs="宋体-方正超大字符集"/>
      <w:kern w:val="2"/>
      <w:sz w:val="18"/>
      <w:szCs w:val="18"/>
    </w:rPr>
  </w:style>
  <w:style w:type="paragraph" w:styleId="32">
    <w:name w:val="toc 6"/>
    <w:basedOn w:val="1"/>
    <w:next w:val="1"/>
    <w:unhideWhenUsed/>
    <w:qFormat/>
    <w:uiPriority w:val="39"/>
    <w:pPr>
      <w:ind w:left="1050"/>
      <w:jc w:val="left"/>
    </w:pPr>
    <w:rPr>
      <w:rFonts w:asciiTheme="minorHAnsi" w:hAnsiTheme="minorHAnsi"/>
      <w:sz w:val="18"/>
      <w:szCs w:val="18"/>
    </w:rPr>
  </w:style>
  <w:style w:type="paragraph" w:styleId="33">
    <w:name w:val="Body Text Indent 3"/>
    <w:basedOn w:val="1"/>
    <w:link w:val="74"/>
    <w:qFormat/>
    <w:uiPriority w:val="0"/>
    <w:pPr>
      <w:adjustRightInd/>
      <w:ind w:firstLine="720" w:firstLineChars="240"/>
      <w:textAlignment w:val="auto"/>
    </w:pPr>
    <w:rPr>
      <w:iCs/>
      <w:kern w:val="2"/>
      <w:szCs w:val="30"/>
    </w:rPr>
  </w:style>
  <w:style w:type="paragraph" w:styleId="34">
    <w:name w:val="table of figures"/>
    <w:basedOn w:val="1"/>
    <w:next w:val="1"/>
    <w:qFormat/>
    <w:uiPriority w:val="99"/>
    <w:pPr>
      <w:adjustRightInd/>
      <w:spacing w:line="240" w:lineRule="auto"/>
      <w:ind w:left="720" w:hanging="720" w:firstLineChars="0"/>
      <w:textAlignment w:val="auto"/>
    </w:pPr>
    <w:rPr>
      <w:rFonts w:eastAsia="黑体"/>
      <w:smallCaps/>
      <w:kern w:val="2"/>
      <w:sz w:val="20"/>
      <w:szCs w:val="21"/>
    </w:rPr>
  </w:style>
  <w:style w:type="paragraph" w:styleId="35">
    <w:name w:val="toc 2"/>
    <w:basedOn w:val="1"/>
    <w:next w:val="1"/>
    <w:qFormat/>
    <w:uiPriority w:val="39"/>
    <w:pPr>
      <w:ind w:left="210"/>
      <w:jc w:val="left"/>
    </w:pPr>
    <w:rPr>
      <w:rFonts w:asciiTheme="minorHAnsi" w:hAnsiTheme="minorHAnsi"/>
      <w:smallCaps/>
      <w:sz w:val="20"/>
    </w:rPr>
  </w:style>
  <w:style w:type="paragraph" w:styleId="36">
    <w:name w:val="toc 9"/>
    <w:basedOn w:val="1"/>
    <w:next w:val="1"/>
    <w:unhideWhenUsed/>
    <w:qFormat/>
    <w:uiPriority w:val="39"/>
    <w:pPr>
      <w:ind w:left="1680"/>
      <w:jc w:val="left"/>
    </w:pPr>
    <w:rPr>
      <w:rFonts w:asciiTheme="minorHAnsi" w:hAnsiTheme="minorHAnsi"/>
      <w:sz w:val="18"/>
      <w:szCs w:val="18"/>
    </w:rPr>
  </w:style>
  <w:style w:type="paragraph" w:styleId="37">
    <w:name w:val="Body Text 2"/>
    <w:basedOn w:val="1"/>
    <w:link w:val="75"/>
    <w:qFormat/>
    <w:uiPriority w:val="0"/>
    <w:pPr>
      <w:adjustRightInd/>
      <w:spacing w:after="120" w:line="480" w:lineRule="auto"/>
      <w:textAlignment w:val="auto"/>
    </w:pPr>
    <w:rPr>
      <w:kern w:val="2"/>
      <w:szCs w:val="24"/>
    </w:rPr>
  </w:style>
  <w:style w:type="paragraph" w:styleId="38">
    <w:name w:val="Normal (Web)"/>
    <w:basedOn w:val="1"/>
    <w:unhideWhenUsed/>
    <w:qFormat/>
    <w:uiPriority w:val="99"/>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39">
    <w:name w:val="index 1"/>
    <w:basedOn w:val="1"/>
    <w:next w:val="1"/>
    <w:qFormat/>
    <w:uiPriority w:val="0"/>
    <w:pPr>
      <w:adjustRightInd/>
      <w:spacing w:line="400" w:lineRule="exact"/>
      <w:ind w:firstLine="0" w:firstLineChars="0"/>
      <w:jc w:val="center"/>
      <w:textAlignment w:val="auto"/>
    </w:pPr>
    <w:rPr>
      <w:rFonts w:eastAsia="宋体"/>
      <w:kern w:val="2"/>
      <w:sz w:val="21"/>
    </w:rPr>
  </w:style>
  <w:style w:type="paragraph" w:styleId="40">
    <w:name w:val="Title"/>
    <w:basedOn w:val="1"/>
    <w:next w:val="1"/>
    <w:link w:val="76"/>
    <w:qFormat/>
    <w:uiPriority w:val="0"/>
    <w:pPr>
      <w:spacing w:before="240" w:after="60"/>
      <w:jc w:val="center"/>
      <w:outlineLvl w:val="0"/>
    </w:pPr>
    <w:rPr>
      <w:rFonts w:ascii="Arial" w:hAnsi="Arial" w:cs="Arial"/>
      <w:b/>
      <w:bCs/>
      <w:szCs w:val="32"/>
    </w:rPr>
  </w:style>
  <w:style w:type="paragraph" w:styleId="41">
    <w:name w:val="annotation subject"/>
    <w:basedOn w:val="16"/>
    <w:next w:val="16"/>
    <w:link w:val="77"/>
    <w:qFormat/>
    <w:uiPriority w:val="99"/>
    <w:pPr>
      <w:adjustRightInd w:val="0"/>
      <w:spacing w:line="312" w:lineRule="atLeast"/>
      <w:textAlignment w:val="baseline"/>
    </w:pPr>
    <w:rPr>
      <w:b/>
      <w:bCs/>
    </w:rPr>
  </w:style>
  <w:style w:type="paragraph" w:styleId="42">
    <w:name w:val="Body Text First Indent"/>
    <w:basedOn w:val="2"/>
    <w:link w:val="78"/>
    <w:qFormat/>
    <w:uiPriority w:val="0"/>
    <w:pPr>
      <w:adjustRightInd w:val="0"/>
      <w:spacing w:line="312" w:lineRule="atLeast"/>
      <w:ind w:firstLine="420" w:firstLineChars="100"/>
      <w:textAlignment w:val="baseline"/>
    </w:pPr>
    <w:rPr>
      <w:kern w:val="0"/>
      <w:szCs w:val="20"/>
    </w:rPr>
  </w:style>
  <w:style w:type="paragraph" w:styleId="43">
    <w:name w:val="Body Text First Indent 2"/>
    <w:basedOn w:val="18"/>
    <w:link w:val="308"/>
    <w:unhideWhenUsed/>
    <w:qFormat/>
    <w:uiPriority w:val="99"/>
    <w:pPr>
      <w:adjustRightInd/>
      <w:spacing w:after="120" w:line="360" w:lineRule="auto"/>
      <w:ind w:left="420" w:leftChars="200" w:firstLine="420" w:firstLineChars="200"/>
      <w:jc w:val="left"/>
      <w:textAlignment w:val="auto"/>
    </w:pPr>
    <w:rPr>
      <w:rFonts w:ascii="Times New Roman" w:hAnsi="Times New Roman" w:eastAsia="宋体"/>
      <w:snapToGrid/>
      <w:kern w:val="2"/>
      <w:sz w:val="32"/>
      <w:szCs w:val="21"/>
    </w:rPr>
  </w:style>
  <w:style w:type="table" w:styleId="45">
    <w:name w:val="Table Grid"/>
    <w:basedOn w:val="44"/>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0"/>
    <w:rPr>
      <w:b/>
      <w:bCs/>
    </w:rPr>
  </w:style>
  <w:style w:type="character" w:styleId="48">
    <w:name w:val="endnote reference"/>
    <w:qFormat/>
    <w:uiPriority w:val="0"/>
    <w:rPr>
      <w:vertAlign w:val="superscript"/>
    </w:rPr>
  </w:style>
  <w:style w:type="character" w:styleId="49">
    <w:name w:val="page number"/>
    <w:basedOn w:val="46"/>
    <w:qFormat/>
    <w:uiPriority w:val="0"/>
  </w:style>
  <w:style w:type="character" w:styleId="50">
    <w:name w:val="FollowedHyperlink"/>
    <w:basedOn w:val="46"/>
    <w:unhideWhenUsed/>
    <w:qFormat/>
    <w:uiPriority w:val="99"/>
    <w:rPr>
      <w:color w:val="800080"/>
      <w:u w:val="single"/>
    </w:rPr>
  </w:style>
  <w:style w:type="character" w:styleId="51">
    <w:name w:val="Emphasis"/>
    <w:qFormat/>
    <w:uiPriority w:val="20"/>
    <w:rPr>
      <w:i/>
      <w:iCs/>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character" w:styleId="54">
    <w:name w:val="footnote reference"/>
    <w:qFormat/>
    <w:uiPriority w:val="0"/>
    <w:rPr>
      <w:vertAlign w:val="superscript"/>
    </w:rPr>
  </w:style>
  <w:style w:type="character" w:customStyle="1" w:styleId="55">
    <w:name w:val="正文文本 字符"/>
    <w:basedOn w:val="46"/>
    <w:link w:val="2"/>
    <w:qFormat/>
    <w:uiPriority w:val="99"/>
    <w:rPr>
      <w:rFonts w:ascii="Times New Roman" w:hAnsi="Times New Roman" w:eastAsia="宋体" w:cs="Times New Roman"/>
      <w:szCs w:val="24"/>
    </w:rPr>
  </w:style>
  <w:style w:type="character" w:customStyle="1" w:styleId="56">
    <w:name w:val="标题 1 字符"/>
    <w:basedOn w:val="46"/>
    <w:link w:val="3"/>
    <w:qFormat/>
    <w:uiPriority w:val="99"/>
    <w:rPr>
      <w:rFonts w:ascii="Times New Roman" w:hAnsi="Times New Roman" w:eastAsia="方正小标宋简体" w:cs="Times New Roman"/>
      <w:kern w:val="44"/>
      <w:sz w:val="36"/>
      <w:szCs w:val="44"/>
    </w:rPr>
  </w:style>
  <w:style w:type="character" w:customStyle="1" w:styleId="57">
    <w:name w:val="标题 2 字符"/>
    <w:basedOn w:val="46"/>
    <w:link w:val="4"/>
    <w:qFormat/>
    <w:uiPriority w:val="9"/>
    <w:rPr>
      <w:rFonts w:ascii="Times New Roman" w:hAnsi="Times New Roman" w:eastAsia="黑体" w:cs="Times New Roman"/>
      <w:bCs/>
      <w:sz w:val="28"/>
      <w:szCs w:val="28"/>
    </w:rPr>
  </w:style>
  <w:style w:type="character" w:customStyle="1" w:styleId="58">
    <w:name w:val="标题 3 字符"/>
    <w:basedOn w:val="46"/>
    <w:link w:val="5"/>
    <w:qFormat/>
    <w:uiPriority w:val="9"/>
    <w:rPr>
      <w:rFonts w:ascii="黑体" w:hAnsi="黑体" w:eastAsia="黑体" w:cs="Times New Roman"/>
      <w:b/>
      <w:bCs/>
      <w:sz w:val="28"/>
      <w:szCs w:val="28"/>
    </w:rPr>
  </w:style>
  <w:style w:type="character" w:customStyle="1" w:styleId="59">
    <w:name w:val="标题 4 字符"/>
    <w:basedOn w:val="46"/>
    <w:link w:val="6"/>
    <w:qFormat/>
    <w:uiPriority w:val="9"/>
    <w:rPr>
      <w:rFonts w:ascii="Times New Roman" w:hAnsi="Times New Roman" w:eastAsia="楷体_GB2312" w:cs="Times New Roman"/>
      <w:b/>
      <w:bCs/>
      <w:sz w:val="24"/>
      <w:szCs w:val="24"/>
    </w:rPr>
  </w:style>
  <w:style w:type="character" w:customStyle="1" w:styleId="60">
    <w:name w:val="标题 5 字符"/>
    <w:basedOn w:val="46"/>
    <w:link w:val="7"/>
    <w:qFormat/>
    <w:uiPriority w:val="9"/>
    <w:rPr>
      <w:rFonts w:ascii="Times New Roman" w:hAnsi="Times New Roman" w:eastAsia="楷体_GB2312" w:cs="Times New Roman"/>
      <w:bCs/>
      <w:sz w:val="24"/>
      <w:szCs w:val="28"/>
    </w:rPr>
  </w:style>
  <w:style w:type="character" w:customStyle="1" w:styleId="61">
    <w:name w:val="标题 6 字符"/>
    <w:basedOn w:val="46"/>
    <w:link w:val="8"/>
    <w:qFormat/>
    <w:uiPriority w:val="9"/>
    <w:rPr>
      <w:rFonts w:ascii="Arial" w:hAnsi="Arial" w:eastAsia="黑体" w:cs="Times New Roman"/>
      <w:bCs/>
      <w:szCs w:val="21"/>
    </w:rPr>
  </w:style>
  <w:style w:type="character" w:customStyle="1" w:styleId="62">
    <w:name w:val="标题 7 字符"/>
    <w:basedOn w:val="46"/>
    <w:link w:val="9"/>
    <w:qFormat/>
    <w:uiPriority w:val="0"/>
    <w:rPr>
      <w:rFonts w:ascii="Times New Roman" w:hAnsi="Times New Roman" w:eastAsia="宋体" w:cs="Times New Roman"/>
      <w:b/>
      <w:bCs/>
      <w:sz w:val="24"/>
      <w:szCs w:val="24"/>
    </w:rPr>
  </w:style>
  <w:style w:type="character" w:customStyle="1" w:styleId="63">
    <w:name w:val="标题 8 字符"/>
    <w:basedOn w:val="46"/>
    <w:link w:val="10"/>
    <w:qFormat/>
    <w:uiPriority w:val="0"/>
    <w:rPr>
      <w:rFonts w:ascii="Arial" w:hAnsi="Arial" w:eastAsia="黑体" w:cs="Times New Roman"/>
      <w:sz w:val="24"/>
      <w:szCs w:val="24"/>
    </w:rPr>
  </w:style>
  <w:style w:type="character" w:customStyle="1" w:styleId="64">
    <w:name w:val="标题 9 字符"/>
    <w:basedOn w:val="46"/>
    <w:link w:val="11"/>
    <w:qFormat/>
    <w:uiPriority w:val="0"/>
    <w:rPr>
      <w:rFonts w:ascii="Arial" w:hAnsi="Arial" w:eastAsia="黑体" w:cs="Times New Roman"/>
      <w:szCs w:val="21"/>
    </w:rPr>
  </w:style>
  <w:style w:type="character" w:customStyle="1" w:styleId="65">
    <w:name w:val="文档结构图 字符"/>
    <w:basedOn w:val="46"/>
    <w:link w:val="15"/>
    <w:qFormat/>
    <w:uiPriority w:val="0"/>
    <w:rPr>
      <w:rFonts w:ascii="Times New Roman" w:hAnsi="Times New Roman" w:eastAsia="宋体" w:cs="Times New Roman"/>
      <w:kern w:val="0"/>
      <w:szCs w:val="20"/>
      <w:shd w:val="clear" w:color="auto" w:fill="000080"/>
    </w:rPr>
  </w:style>
  <w:style w:type="character" w:customStyle="1" w:styleId="66">
    <w:name w:val="批注文字 字符"/>
    <w:basedOn w:val="46"/>
    <w:link w:val="16"/>
    <w:qFormat/>
    <w:uiPriority w:val="99"/>
    <w:rPr>
      <w:rFonts w:ascii="Times New Roman" w:hAnsi="Times New Roman" w:eastAsia="宋体" w:cs="Times New Roman"/>
      <w:szCs w:val="20"/>
    </w:rPr>
  </w:style>
  <w:style w:type="character" w:customStyle="1" w:styleId="67">
    <w:name w:val="正文文本缩进 字符"/>
    <w:basedOn w:val="46"/>
    <w:link w:val="18"/>
    <w:qFormat/>
    <w:uiPriority w:val="99"/>
    <w:rPr>
      <w:rFonts w:ascii="仿宋_GB2312" w:hAnsi="宋体" w:eastAsia="仿宋_GB2312" w:cs="Times New Roman"/>
      <w:snapToGrid w:val="0"/>
      <w:kern w:val="0"/>
      <w:sz w:val="24"/>
      <w:szCs w:val="24"/>
    </w:rPr>
  </w:style>
  <w:style w:type="character" w:customStyle="1" w:styleId="68">
    <w:name w:val="纯文本 字符"/>
    <w:basedOn w:val="46"/>
    <w:link w:val="21"/>
    <w:qFormat/>
    <w:uiPriority w:val="0"/>
    <w:rPr>
      <w:rFonts w:ascii="宋体" w:hAnsi="Courier New" w:eastAsia="仿宋_GB2312" w:cs="Times New Roman"/>
      <w:sz w:val="28"/>
      <w:szCs w:val="28"/>
    </w:rPr>
  </w:style>
  <w:style w:type="character" w:customStyle="1" w:styleId="69">
    <w:name w:val="日期 字符"/>
    <w:basedOn w:val="46"/>
    <w:link w:val="23"/>
    <w:qFormat/>
    <w:uiPriority w:val="0"/>
    <w:rPr>
      <w:rFonts w:ascii="宋体" w:hAnsi="Times New Roman" w:eastAsia="宋体" w:cs="Times New Roman"/>
      <w:sz w:val="24"/>
      <w:szCs w:val="20"/>
    </w:rPr>
  </w:style>
  <w:style w:type="character" w:customStyle="1" w:styleId="70">
    <w:name w:val="正文文本缩进 2 字符"/>
    <w:basedOn w:val="46"/>
    <w:link w:val="24"/>
    <w:qFormat/>
    <w:uiPriority w:val="0"/>
    <w:rPr>
      <w:rFonts w:ascii="Times New Roman" w:hAnsi="Times New Roman" w:eastAsia="仿宋_GB2312" w:cs="Times New Roman"/>
      <w:snapToGrid w:val="0"/>
      <w:kern w:val="28"/>
      <w:sz w:val="28"/>
      <w:szCs w:val="24"/>
    </w:rPr>
  </w:style>
  <w:style w:type="character" w:customStyle="1" w:styleId="71">
    <w:name w:val="批注框文本 字符"/>
    <w:basedOn w:val="46"/>
    <w:link w:val="26"/>
    <w:qFormat/>
    <w:uiPriority w:val="99"/>
    <w:rPr>
      <w:rFonts w:ascii="Times New Roman" w:hAnsi="Times New Roman" w:eastAsia="宋体" w:cs="Times New Roman"/>
      <w:kern w:val="0"/>
      <w:sz w:val="18"/>
      <w:szCs w:val="18"/>
    </w:rPr>
  </w:style>
  <w:style w:type="character" w:customStyle="1" w:styleId="72">
    <w:name w:val="页脚 字符"/>
    <w:basedOn w:val="46"/>
    <w:link w:val="27"/>
    <w:qFormat/>
    <w:uiPriority w:val="99"/>
    <w:rPr>
      <w:rFonts w:ascii="Times New Roman" w:hAnsi="Times New Roman" w:eastAsia="宋体" w:cs="Times New Roman"/>
      <w:kern w:val="0"/>
      <w:sz w:val="18"/>
      <w:szCs w:val="20"/>
    </w:rPr>
  </w:style>
  <w:style w:type="character" w:customStyle="1" w:styleId="73">
    <w:name w:val="页眉 字符"/>
    <w:basedOn w:val="46"/>
    <w:link w:val="28"/>
    <w:qFormat/>
    <w:uiPriority w:val="99"/>
    <w:rPr>
      <w:rFonts w:ascii="Times New Roman" w:hAnsi="Times New Roman" w:eastAsia="宋体" w:cs="Times New Roman"/>
      <w:kern w:val="0"/>
      <w:sz w:val="18"/>
      <w:szCs w:val="18"/>
    </w:rPr>
  </w:style>
  <w:style w:type="character" w:customStyle="1" w:styleId="74">
    <w:name w:val="正文文本缩进 3 字符"/>
    <w:basedOn w:val="46"/>
    <w:link w:val="33"/>
    <w:qFormat/>
    <w:uiPriority w:val="0"/>
    <w:rPr>
      <w:rFonts w:ascii="Times New Roman" w:hAnsi="Times New Roman" w:eastAsia="仿宋_GB2312" w:cs="Times New Roman"/>
      <w:iCs/>
      <w:sz w:val="30"/>
      <w:szCs w:val="30"/>
    </w:rPr>
  </w:style>
  <w:style w:type="character" w:customStyle="1" w:styleId="75">
    <w:name w:val="正文文本 2 字符"/>
    <w:basedOn w:val="46"/>
    <w:link w:val="37"/>
    <w:qFormat/>
    <w:uiPriority w:val="0"/>
    <w:rPr>
      <w:rFonts w:ascii="Times New Roman" w:hAnsi="Times New Roman" w:eastAsia="宋体" w:cs="Times New Roman"/>
      <w:szCs w:val="24"/>
    </w:rPr>
  </w:style>
  <w:style w:type="character" w:customStyle="1" w:styleId="76">
    <w:name w:val="标题 字符"/>
    <w:basedOn w:val="46"/>
    <w:link w:val="40"/>
    <w:qFormat/>
    <w:uiPriority w:val="0"/>
    <w:rPr>
      <w:rFonts w:ascii="Arial" w:hAnsi="Arial" w:eastAsia="宋体" w:cs="Arial"/>
      <w:b/>
      <w:bCs/>
      <w:kern w:val="0"/>
      <w:sz w:val="32"/>
      <w:szCs w:val="32"/>
    </w:rPr>
  </w:style>
  <w:style w:type="character" w:customStyle="1" w:styleId="77">
    <w:name w:val="批注主题 字符"/>
    <w:basedOn w:val="66"/>
    <w:link w:val="41"/>
    <w:qFormat/>
    <w:uiPriority w:val="99"/>
    <w:rPr>
      <w:rFonts w:ascii="Times New Roman" w:hAnsi="Times New Roman" w:eastAsia="宋体" w:cs="Times New Roman"/>
      <w:b/>
      <w:bCs/>
      <w:szCs w:val="20"/>
    </w:rPr>
  </w:style>
  <w:style w:type="character" w:customStyle="1" w:styleId="78">
    <w:name w:val="正文文本首行缩进 字符"/>
    <w:basedOn w:val="55"/>
    <w:link w:val="42"/>
    <w:qFormat/>
    <w:uiPriority w:val="0"/>
    <w:rPr>
      <w:rFonts w:ascii="Times New Roman" w:hAnsi="Times New Roman" w:eastAsia="宋体" w:cs="Times New Roman"/>
      <w:kern w:val="0"/>
      <w:szCs w:val="20"/>
    </w:rPr>
  </w:style>
  <w:style w:type="character" w:customStyle="1" w:styleId="79">
    <w:name w:val="样式23 Char"/>
    <w:basedOn w:val="80"/>
    <w:link w:val="82"/>
    <w:qFormat/>
    <w:uiPriority w:val="0"/>
    <w:rPr>
      <w:rFonts w:ascii="黑体" w:hAnsi="Arial Unicode MS" w:eastAsia="黑体"/>
      <w:sz w:val="24"/>
      <w:szCs w:val="24"/>
    </w:rPr>
  </w:style>
  <w:style w:type="character" w:customStyle="1" w:styleId="80">
    <w:name w:val="表名 Char"/>
    <w:link w:val="81"/>
    <w:qFormat/>
    <w:uiPriority w:val="0"/>
    <w:rPr>
      <w:rFonts w:ascii="黑体" w:hAnsi="Arial Unicode MS" w:eastAsia="黑体"/>
      <w:sz w:val="24"/>
      <w:szCs w:val="24"/>
    </w:rPr>
  </w:style>
  <w:style w:type="paragraph" w:customStyle="1" w:styleId="81">
    <w:name w:val="表名"/>
    <w:basedOn w:val="1"/>
    <w:link w:val="80"/>
    <w:qFormat/>
    <w:uiPriority w:val="0"/>
    <w:pPr>
      <w:adjustRightInd/>
      <w:spacing w:after="60"/>
      <w:ind w:firstLine="100" w:firstLineChars="100"/>
      <w:textAlignment w:val="auto"/>
    </w:pPr>
    <w:rPr>
      <w:rFonts w:ascii="黑体" w:hAnsi="Arial Unicode MS" w:eastAsia="黑体" w:cstheme="minorBidi"/>
      <w:kern w:val="2"/>
      <w:sz w:val="24"/>
      <w:szCs w:val="24"/>
    </w:rPr>
  </w:style>
  <w:style w:type="paragraph" w:customStyle="1" w:styleId="82">
    <w:name w:val="样式23"/>
    <w:basedOn w:val="81"/>
    <w:link w:val="79"/>
    <w:qFormat/>
    <w:uiPriority w:val="0"/>
    <w:pPr>
      <w:adjustRightInd w:val="0"/>
      <w:snapToGrid w:val="0"/>
      <w:spacing w:after="0" w:line="300" w:lineRule="auto"/>
    </w:pPr>
  </w:style>
  <w:style w:type="character" w:customStyle="1" w:styleId="83">
    <w:name w:val="Char Char Char1"/>
    <w:qFormat/>
    <w:uiPriority w:val="0"/>
    <w:rPr>
      <w:rFonts w:eastAsia="宋体"/>
      <w:bCs/>
      <w:kern w:val="2"/>
      <w:sz w:val="24"/>
      <w:szCs w:val="28"/>
      <w:lang w:val="en-US" w:eastAsia="zh-CN" w:bidi="ar-SA"/>
    </w:rPr>
  </w:style>
  <w:style w:type="character" w:customStyle="1" w:styleId="84">
    <w:name w:val="样式20 Char"/>
    <w:link w:val="85"/>
    <w:qFormat/>
    <w:uiPriority w:val="0"/>
    <w:rPr>
      <w:rFonts w:ascii="宋体" w:hAnsi="宋体" w:eastAsia="仿宋_GB2312"/>
      <w:sz w:val="28"/>
      <w:szCs w:val="28"/>
    </w:rPr>
  </w:style>
  <w:style w:type="paragraph" w:customStyle="1" w:styleId="85">
    <w:name w:val="样式20"/>
    <w:basedOn w:val="1"/>
    <w:link w:val="84"/>
    <w:qFormat/>
    <w:uiPriority w:val="0"/>
    <w:pPr>
      <w:snapToGrid w:val="0"/>
      <w:spacing w:line="353" w:lineRule="auto"/>
      <w:textAlignment w:val="auto"/>
    </w:pPr>
    <w:rPr>
      <w:rFonts w:ascii="宋体" w:hAnsi="宋体" w:cstheme="minorBidi"/>
      <w:kern w:val="2"/>
      <w:sz w:val="28"/>
      <w:szCs w:val="28"/>
    </w:rPr>
  </w:style>
  <w:style w:type="character" w:customStyle="1" w:styleId="86">
    <w:name w:val="公正文 Char1"/>
    <w:link w:val="87"/>
    <w:qFormat/>
    <w:uiPriority w:val="0"/>
    <w:rPr>
      <w:rFonts w:ascii="仿宋_GB2312" w:hAnsi="宋体" w:eastAsia="仿宋_GB2312"/>
      <w:sz w:val="28"/>
      <w:szCs w:val="24"/>
    </w:rPr>
  </w:style>
  <w:style w:type="paragraph" w:customStyle="1" w:styleId="87">
    <w:name w:val="公正文"/>
    <w:basedOn w:val="13"/>
    <w:link w:val="86"/>
    <w:qFormat/>
    <w:uiPriority w:val="0"/>
    <w:pPr>
      <w:snapToGrid w:val="0"/>
      <w:spacing w:line="355" w:lineRule="auto"/>
      <w:ind w:firstLine="200"/>
      <w:textAlignment w:val="auto"/>
    </w:pPr>
    <w:rPr>
      <w:rFonts w:ascii="仿宋_GB2312" w:hAnsi="宋体" w:cstheme="minorBidi"/>
      <w:kern w:val="2"/>
      <w:sz w:val="28"/>
      <w:szCs w:val="24"/>
    </w:rPr>
  </w:style>
  <w:style w:type="character" w:customStyle="1" w:styleId="88">
    <w:name w:val="样式17 Char"/>
    <w:basedOn w:val="89"/>
    <w:link w:val="91"/>
    <w:qFormat/>
    <w:uiPriority w:val="0"/>
    <w:rPr>
      <w:rFonts w:ascii="仿宋_GB2312" w:hAnsi="宋体" w:eastAsia="仿宋_GB2312"/>
      <w:sz w:val="28"/>
      <w:szCs w:val="28"/>
    </w:rPr>
  </w:style>
  <w:style w:type="character" w:customStyle="1" w:styleId="89">
    <w:name w:val="新正文 Char"/>
    <w:link w:val="90"/>
    <w:qFormat/>
    <w:uiPriority w:val="0"/>
    <w:rPr>
      <w:rFonts w:ascii="仿宋_GB2312" w:hAnsi="宋体" w:eastAsia="仿宋_GB2312"/>
      <w:sz w:val="28"/>
      <w:szCs w:val="28"/>
    </w:rPr>
  </w:style>
  <w:style w:type="paragraph" w:customStyle="1" w:styleId="90">
    <w:name w:val="新正文"/>
    <w:basedOn w:val="1"/>
    <w:link w:val="89"/>
    <w:qFormat/>
    <w:uiPriority w:val="0"/>
    <w:pPr>
      <w:snapToGrid w:val="0"/>
      <w:textAlignment w:val="auto"/>
    </w:pPr>
    <w:rPr>
      <w:rFonts w:ascii="仿宋_GB2312" w:hAnsi="宋体" w:cstheme="minorBidi"/>
      <w:kern w:val="2"/>
      <w:sz w:val="28"/>
      <w:szCs w:val="28"/>
    </w:rPr>
  </w:style>
  <w:style w:type="paragraph" w:customStyle="1" w:styleId="91">
    <w:name w:val="样式17"/>
    <w:basedOn w:val="90"/>
    <w:link w:val="88"/>
    <w:qFormat/>
    <w:uiPriority w:val="0"/>
  </w:style>
  <w:style w:type="character" w:customStyle="1" w:styleId="92">
    <w:name w:val="标正文 Char"/>
    <w:link w:val="93"/>
    <w:qFormat/>
    <w:uiPriority w:val="0"/>
    <w:rPr>
      <w:rFonts w:ascii="仿宋_GB2312" w:eastAsia="仿宋_GB2312"/>
      <w:sz w:val="28"/>
      <w:lang w:val="en-GB"/>
    </w:rPr>
  </w:style>
  <w:style w:type="paragraph" w:customStyle="1" w:styleId="93">
    <w:name w:val="标正文"/>
    <w:basedOn w:val="1"/>
    <w:link w:val="92"/>
    <w:qFormat/>
    <w:uiPriority w:val="0"/>
    <w:pPr>
      <w:spacing w:line="305" w:lineRule="auto"/>
      <w:ind w:firstLine="567"/>
    </w:pPr>
    <w:rPr>
      <w:rFonts w:ascii="仿宋_GB2312" w:hAnsiTheme="minorHAnsi" w:cstheme="minorBidi"/>
      <w:kern w:val="2"/>
      <w:sz w:val="28"/>
      <w:szCs w:val="22"/>
      <w:lang w:val="en-GB"/>
    </w:rPr>
  </w:style>
  <w:style w:type="character" w:customStyle="1" w:styleId="94">
    <w:name w:val="样式 (中文) 仿宋_GB2312 四号1 Char"/>
    <w:link w:val="95"/>
    <w:qFormat/>
    <w:uiPriority w:val="0"/>
    <w:rPr>
      <w:rFonts w:eastAsia="仿宋_GB2312"/>
      <w:sz w:val="24"/>
    </w:rPr>
  </w:style>
  <w:style w:type="paragraph" w:customStyle="1" w:styleId="95">
    <w:name w:val="样式 (中文) 仿宋_GB2312 四号1"/>
    <w:basedOn w:val="1"/>
    <w:link w:val="94"/>
    <w:qFormat/>
    <w:uiPriority w:val="0"/>
    <w:pPr>
      <w:adjustRightInd/>
      <w:spacing w:line="460" w:lineRule="exact"/>
      <w:textAlignment w:val="auto"/>
    </w:pPr>
    <w:rPr>
      <w:rFonts w:asciiTheme="minorHAnsi" w:hAnsiTheme="minorHAnsi" w:cstheme="minorBidi"/>
      <w:kern w:val="2"/>
      <w:sz w:val="24"/>
      <w:szCs w:val="22"/>
    </w:rPr>
  </w:style>
  <w:style w:type="paragraph" w:styleId="96">
    <w:name w:val="List Paragraph"/>
    <w:basedOn w:val="1"/>
    <w:qFormat/>
    <w:uiPriority w:val="34"/>
    <w:pPr>
      <w:adjustRightInd/>
      <w:spacing w:line="240" w:lineRule="auto"/>
      <w:ind w:firstLine="420"/>
      <w:textAlignment w:val="auto"/>
    </w:pPr>
    <w:rPr>
      <w:rFonts w:ascii="Calibri" w:hAnsi="Calibri"/>
      <w:kern w:val="2"/>
      <w:szCs w:val="22"/>
    </w:rPr>
  </w:style>
  <w:style w:type="paragraph" w:customStyle="1" w:styleId="97">
    <w:name w:val="font6"/>
    <w:basedOn w:val="1"/>
    <w:qFormat/>
    <w:uiPriority w:val="0"/>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98">
    <w:name w:val="xl89"/>
    <w:basedOn w:val="1"/>
    <w:qFormat/>
    <w:uiPriority w:val="0"/>
    <w:pPr>
      <w:widowControl/>
      <w:pBdr>
        <w:top w:val="single" w:color="auto" w:sz="8" w:space="0"/>
        <w:left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99">
    <w:name w:val="xl91"/>
    <w:basedOn w:val="1"/>
    <w:qFormat/>
    <w:uiPriority w:val="0"/>
    <w:pPr>
      <w:widowControl/>
      <w:pBdr>
        <w:left w:val="single" w:color="auto" w:sz="4" w:space="0"/>
      </w:pBdr>
      <w:adjustRightInd/>
      <w:spacing w:before="100" w:beforeAutospacing="1" w:after="100" w:afterAutospacing="1" w:line="240" w:lineRule="auto"/>
      <w:jc w:val="center"/>
      <w:textAlignment w:val="auto"/>
    </w:pPr>
    <w:rPr>
      <w:rFonts w:ascii="黑体" w:hAnsi="黑体" w:eastAsia="黑体" w:cs="宋体"/>
      <w:color w:val="000000"/>
      <w:szCs w:val="32"/>
    </w:rPr>
  </w:style>
  <w:style w:type="paragraph" w:customStyle="1" w:styleId="100">
    <w:name w:val="xl79"/>
    <w:basedOn w:val="1"/>
    <w:qFormat/>
    <w:uiPriority w:val="0"/>
    <w:pPr>
      <w:widowControl/>
      <w:pBdr>
        <w:top w:val="single" w:color="auto" w:sz="8" w:space="0"/>
        <w:left w:val="single" w:color="auto" w:sz="8" w:space="0"/>
        <w:bottom w:val="single" w:color="auto" w:sz="4" w:space="0"/>
        <w:right w:val="single" w:color="auto" w:sz="4"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01">
    <w:name w:val="公标题1"/>
    <w:basedOn w:val="87"/>
    <w:qFormat/>
    <w:uiPriority w:val="0"/>
    <w:pPr>
      <w:spacing w:beforeLines="70" w:afterLines="70" w:line="353" w:lineRule="auto"/>
      <w:ind w:firstLine="0" w:firstLineChars="0"/>
      <w:outlineLvl w:val="0"/>
    </w:pPr>
    <w:rPr>
      <w:rFonts w:ascii="黑体" w:eastAsia="黑体"/>
      <w:sz w:val="36"/>
    </w:rPr>
  </w:style>
  <w:style w:type="paragraph" w:customStyle="1" w:styleId="10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103">
    <w:name w:val="xl81"/>
    <w:basedOn w:val="1"/>
    <w:qFormat/>
    <w:uiPriority w:val="0"/>
    <w:pPr>
      <w:widowControl/>
      <w:pBdr>
        <w:top w:val="single" w:color="auto" w:sz="8"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04">
    <w:name w:val="标标2"/>
    <w:basedOn w:val="4"/>
    <w:next w:val="1"/>
    <w:qFormat/>
    <w:uiPriority w:val="0"/>
    <w:pPr>
      <w:widowControl/>
      <w:spacing w:beforeLines="50" w:afterLines="50" w:line="240" w:lineRule="auto"/>
      <w:jc w:val="left"/>
    </w:pPr>
    <w:rPr>
      <w:rFonts w:ascii="黑体"/>
      <w:bCs w:val="0"/>
      <w:szCs w:val="24"/>
    </w:rPr>
  </w:style>
  <w:style w:type="paragraph" w:customStyle="1" w:styleId="105">
    <w:name w:val="样式12"/>
    <w:basedOn w:val="1"/>
    <w:qFormat/>
    <w:uiPriority w:val="0"/>
    <w:pPr>
      <w:adjustRightInd/>
      <w:textAlignment w:val="auto"/>
      <w:outlineLvl w:val="0"/>
    </w:pPr>
    <w:rPr>
      <w:rFonts w:ascii="宋体" w:hAnsi="宋体" w:eastAsia="黑体"/>
      <w:kern w:val="32"/>
      <w:sz w:val="24"/>
      <w:szCs w:val="24"/>
    </w:rPr>
  </w:style>
  <w:style w:type="paragraph" w:customStyle="1" w:styleId="106">
    <w:name w:val="xl88"/>
    <w:basedOn w:val="1"/>
    <w:qFormat/>
    <w:uiPriority w:val="0"/>
    <w:pPr>
      <w:widowControl/>
      <w:pBdr>
        <w:top w:val="single" w:color="auto" w:sz="4" w:space="0"/>
        <w:left w:val="single" w:color="auto" w:sz="8"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107">
    <w:name w:val="xl87"/>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108">
    <w:name w:val="标1"/>
    <w:basedOn w:val="1"/>
    <w:qFormat/>
    <w:uiPriority w:val="0"/>
    <w:pPr>
      <w:adjustRightInd/>
      <w:spacing w:beforeLines="100" w:line="480" w:lineRule="auto"/>
      <w:jc w:val="left"/>
      <w:textAlignment w:val="auto"/>
      <w:outlineLvl w:val="0"/>
    </w:pPr>
    <w:rPr>
      <w:rFonts w:ascii="黑体" w:eastAsia="黑体"/>
      <w:sz w:val="36"/>
    </w:rPr>
  </w:style>
  <w:style w:type="paragraph" w:customStyle="1" w:styleId="109">
    <w:name w:val="xl7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auto"/>
    </w:pPr>
    <w:rPr>
      <w:rFonts w:ascii="黑体" w:hAnsi="黑体" w:eastAsia="黑体" w:cs="宋体"/>
      <w:color w:val="000000"/>
      <w:sz w:val="18"/>
      <w:szCs w:val="18"/>
    </w:rPr>
  </w:style>
  <w:style w:type="paragraph" w:customStyle="1" w:styleId="110">
    <w:name w:val="标题1"/>
    <w:basedOn w:val="1"/>
    <w:qFormat/>
    <w:uiPriority w:val="0"/>
    <w:pPr>
      <w:snapToGrid w:val="0"/>
      <w:spacing w:beforeLines="70" w:afterLines="70"/>
      <w:textAlignment w:val="auto"/>
      <w:outlineLvl w:val="0"/>
    </w:pPr>
    <w:rPr>
      <w:rFonts w:ascii="Arial" w:hAnsi="Arial" w:eastAsia="黑体"/>
      <w:kern w:val="2"/>
      <w:sz w:val="36"/>
      <w:szCs w:val="36"/>
    </w:rPr>
  </w:style>
  <w:style w:type="paragraph" w:customStyle="1" w:styleId="111">
    <w:name w:val="font8"/>
    <w:basedOn w:val="1"/>
    <w:qFormat/>
    <w:uiPriority w:val="0"/>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112">
    <w:name w:val="default paragraph font Char"/>
    <w:basedOn w:val="1"/>
    <w:qFormat/>
    <w:uiPriority w:val="0"/>
    <w:pPr>
      <w:spacing w:line="240" w:lineRule="atLeast"/>
      <w:ind w:left="420" w:firstLine="420"/>
    </w:pPr>
    <w:rPr>
      <w:szCs w:val="21"/>
    </w:rPr>
  </w:style>
  <w:style w:type="paragraph" w:customStyle="1" w:styleId="113">
    <w:name w:val="公标题2"/>
    <w:basedOn w:val="101"/>
    <w:qFormat/>
    <w:uiPriority w:val="0"/>
    <w:pPr>
      <w:spacing w:beforeLines="50" w:afterLines="50"/>
      <w:outlineLvl w:val="1"/>
    </w:pPr>
    <w:rPr>
      <w:sz w:val="32"/>
    </w:rPr>
  </w:style>
  <w:style w:type="paragraph" w:customStyle="1" w:styleId="114">
    <w:name w:val="xl6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15">
    <w:name w:val="xl75"/>
    <w:basedOn w:val="1"/>
    <w:qFormat/>
    <w:uiPriority w:val="0"/>
    <w:pPr>
      <w:widowControl/>
      <w:pBdr>
        <w:top w:val="single" w:color="auto" w:sz="4" w:space="0"/>
        <w:left w:val="single" w:color="auto" w:sz="4" w:space="0"/>
        <w:bottom w:val="single" w:color="auto" w:sz="8" w:space="0"/>
        <w:right w:val="single" w:color="auto" w:sz="4"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16">
    <w:name w:val="样式 样式 正文文本缩进 2正文文本缩进 2 Char + 左侧:  2 字符2 + 首行缩进:  2 字符"/>
    <w:basedOn w:val="1"/>
    <w:qFormat/>
    <w:uiPriority w:val="0"/>
    <w:pPr>
      <w:adjustRightInd/>
      <w:spacing w:after="120"/>
      <w:ind w:firstLine="480"/>
      <w:textAlignment w:val="auto"/>
    </w:pPr>
    <w:rPr>
      <w:rFonts w:cs="宋体"/>
      <w:sz w:val="24"/>
    </w:rPr>
  </w:style>
  <w:style w:type="paragraph" w:customStyle="1" w:styleId="117">
    <w:name w:val="xl86"/>
    <w:basedOn w:val="1"/>
    <w:qFormat/>
    <w:uiPriority w:val="0"/>
    <w:pPr>
      <w:widowControl/>
      <w:pBdr>
        <w:top w:val="single" w:color="auto" w:sz="8" w:space="0"/>
        <w:left w:val="single" w:color="auto" w:sz="4" w:space="0"/>
        <w:bottom w:val="single" w:color="auto" w:sz="4" w:space="0"/>
        <w:right w:val="single" w:color="auto" w:sz="8"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118">
    <w:name w:val="样式 标1 + 宋体 加粗 段前: 1 行"/>
    <w:basedOn w:val="108"/>
    <w:qFormat/>
    <w:uiPriority w:val="0"/>
    <w:pPr>
      <w:spacing w:before="240" w:line="360" w:lineRule="auto"/>
    </w:pPr>
    <w:rPr>
      <w:rFonts w:ascii="宋体" w:hAnsi="宋体" w:eastAsia="宋体" w:cs="宋体"/>
      <w:b/>
      <w:bCs/>
    </w:rPr>
  </w:style>
  <w:style w:type="paragraph" w:customStyle="1" w:styleId="119">
    <w:name w:val="Char Char Char Char Char Char Char"/>
    <w:basedOn w:val="1"/>
    <w:qFormat/>
    <w:uiPriority w:val="0"/>
    <w:pPr>
      <w:adjustRightInd/>
      <w:spacing w:line="240" w:lineRule="auto"/>
      <w:textAlignment w:val="auto"/>
    </w:pPr>
    <w:rPr>
      <w:kern w:val="2"/>
      <w:szCs w:val="21"/>
    </w:rPr>
  </w:style>
  <w:style w:type="paragraph" w:customStyle="1" w:styleId="120">
    <w:name w:val="xl78"/>
    <w:basedOn w:val="1"/>
    <w:qFormat/>
    <w:uiPriority w:val="0"/>
    <w:pPr>
      <w:widowControl/>
      <w:pBdr>
        <w:bottom w:val="single" w:color="auto" w:sz="8" w:space="0"/>
      </w:pBdr>
      <w:adjustRightInd/>
      <w:spacing w:before="100" w:beforeAutospacing="1" w:after="100" w:afterAutospacing="1" w:line="240" w:lineRule="auto"/>
      <w:jc w:val="center"/>
      <w:textAlignment w:val="auto"/>
    </w:pPr>
    <w:rPr>
      <w:rFonts w:ascii="黑体" w:hAnsi="黑体" w:eastAsia="黑体" w:cs="宋体"/>
      <w:szCs w:val="32"/>
    </w:rPr>
  </w:style>
  <w:style w:type="paragraph" w:customStyle="1" w:styleId="121">
    <w:name w:val="xl7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auto"/>
    </w:pPr>
    <w:rPr>
      <w:rFonts w:ascii="黑体" w:hAnsi="黑体" w:eastAsia="黑体" w:cs="宋体"/>
      <w:color w:val="000000"/>
      <w:sz w:val="18"/>
      <w:szCs w:val="18"/>
    </w:rPr>
  </w:style>
  <w:style w:type="paragraph" w:customStyle="1" w:styleId="122">
    <w:name w:val="xl90"/>
    <w:basedOn w:val="1"/>
    <w:qFormat/>
    <w:uiPriority w:val="0"/>
    <w:pPr>
      <w:widowControl/>
      <w:pBdr>
        <w:left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123">
    <w:name w:val="xl84"/>
    <w:basedOn w:val="1"/>
    <w:qFormat/>
    <w:uiPriority w:val="0"/>
    <w:pPr>
      <w:widowControl/>
      <w:pBdr>
        <w:top w:val="single" w:color="auto" w:sz="4" w:space="0"/>
        <w:left w:val="single" w:color="auto" w:sz="4" w:space="0"/>
        <w:bottom w:val="single" w:color="auto" w:sz="4" w:space="0"/>
        <w:right w:val="single" w:color="000000" w:sz="8"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24">
    <w:name w:val="font5"/>
    <w:basedOn w:val="1"/>
    <w:qFormat/>
    <w:uiPriority w:val="0"/>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12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left"/>
      <w:textAlignment w:val="auto"/>
    </w:pPr>
    <w:rPr>
      <w:rFonts w:ascii="宋体" w:hAnsi="宋体" w:cs="宋体"/>
      <w:sz w:val="24"/>
      <w:szCs w:val="24"/>
    </w:rPr>
  </w:style>
  <w:style w:type="paragraph" w:styleId="12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标题2"/>
    <w:basedOn w:val="1"/>
    <w:next w:val="1"/>
    <w:qFormat/>
    <w:uiPriority w:val="0"/>
    <w:pPr>
      <w:adjustRightInd/>
      <w:spacing w:before="120" w:after="120" w:line="240" w:lineRule="auto"/>
      <w:jc w:val="left"/>
      <w:textAlignment w:val="auto"/>
      <w:outlineLvl w:val="1"/>
    </w:pPr>
    <w:rPr>
      <w:rFonts w:eastAsia="黑体"/>
      <w:kern w:val="2"/>
      <w:szCs w:val="24"/>
    </w:rPr>
  </w:style>
  <w:style w:type="paragraph" w:customStyle="1" w:styleId="12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129">
    <w:name w:val="xl80"/>
    <w:basedOn w:val="1"/>
    <w:qFormat/>
    <w:uiPriority w:val="0"/>
    <w:pPr>
      <w:widowControl/>
      <w:pBdr>
        <w:top w:val="single" w:color="auto" w:sz="4" w:space="0"/>
        <w:left w:val="single" w:color="auto" w:sz="8" w:space="0"/>
        <w:bottom w:val="single" w:color="auto" w:sz="4" w:space="0"/>
        <w:right w:val="single" w:color="auto" w:sz="4"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30">
    <w:name w:val="xl92"/>
    <w:basedOn w:val="1"/>
    <w:qFormat/>
    <w:uiPriority w:val="0"/>
    <w:pPr>
      <w:widowControl/>
      <w:adjustRightInd/>
      <w:spacing w:before="100" w:beforeAutospacing="1" w:after="100" w:afterAutospacing="1" w:line="240" w:lineRule="auto"/>
      <w:jc w:val="center"/>
      <w:textAlignment w:val="auto"/>
    </w:pPr>
    <w:rPr>
      <w:rFonts w:ascii="黑体" w:hAnsi="黑体" w:eastAsia="黑体" w:cs="宋体"/>
      <w:color w:val="000000"/>
      <w:szCs w:val="32"/>
    </w:rPr>
  </w:style>
  <w:style w:type="paragraph" w:customStyle="1" w:styleId="131">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line="240" w:lineRule="auto"/>
      <w:jc w:val="center"/>
      <w:textAlignment w:val="auto"/>
    </w:pPr>
    <w:rPr>
      <w:rFonts w:ascii="黑体" w:hAnsi="黑体" w:eastAsia="黑体" w:cs="宋体"/>
      <w:color w:val="FF0000"/>
      <w:sz w:val="18"/>
      <w:szCs w:val="18"/>
    </w:rPr>
  </w:style>
  <w:style w:type="paragraph" w:customStyle="1" w:styleId="132">
    <w:name w:val="font7"/>
    <w:basedOn w:val="1"/>
    <w:qFormat/>
    <w:uiPriority w:val="0"/>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133">
    <w:name w:val="xl6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134">
    <w:name w:val="xl76"/>
    <w:basedOn w:val="1"/>
    <w:qFormat/>
    <w:uiPriority w:val="0"/>
    <w:pPr>
      <w:widowControl/>
      <w:pBdr>
        <w:top w:val="single" w:color="auto" w:sz="4" w:space="0"/>
        <w:left w:val="single" w:color="auto" w:sz="4" w:space="0"/>
        <w:bottom w:val="single" w:color="auto" w:sz="8" w:space="0"/>
        <w:right w:val="single" w:color="auto" w:sz="4" w:space="0"/>
      </w:pBdr>
      <w:adjustRightInd/>
      <w:spacing w:before="100" w:beforeAutospacing="1" w:after="100" w:afterAutospacing="1" w:line="240" w:lineRule="auto"/>
      <w:jc w:val="left"/>
      <w:textAlignment w:val="auto"/>
    </w:pPr>
    <w:rPr>
      <w:rFonts w:ascii="黑体" w:hAnsi="黑体" w:eastAsia="黑体" w:cs="宋体"/>
      <w:sz w:val="18"/>
      <w:szCs w:val="18"/>
    </w:rPr>
  </w:style>
  <w:style w:type="paragraph" w:customStyle="1" w:styleId="13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13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黑体" w:hAnsi="黑体" w:eastAsia="黑体" w:cs="宋体"/>
      <w:color w:val="000000"/>
      <w:sz w:val="18"/>
      <w:szCs w:val="18"/>
    </w:rPr>
  </w:style>
  <w:style w:type="paragraph" w:customStyle="1" w:styleId="137">
    <w:name w:val="xl82"/>
    <w:basedOn w:val="1"/>
    <w:qFormat/>
    <w:uiPriority w:val="0"/>
    <w:pPr>
      <w:widowControl/>
      <w:pBdr>
        <w:top w:val="single" w:color="auto" w:sz="8"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3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139">
    <w:name w:val="xl64"/>
    <w:basedOn w:val="1"/>
    <w:qFormat/>
    <w:uiPriority w:val="0"/>
    <w:pPr>
      <w:widowControl/>
      <w:pBdr>
        <w:top w:val="single" w:color="auto" w:sz="4" w:space="0"/>
        <w:left w:val="single" w:color="auto" w:sz="4" w:space="0"/>
        <w:bottom w:val="single" w:color="auto" w:sz="4" w:space="0"/>
        <w:right w:val="single" w:color="auto" w:sz="8"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40">
    <w:name w:val="xl77"/>
    <w:basedOn w:val="1"/>
    <w:qFormat/>
    <w:uiPriority w:val="0"/>
    <w:pPr>
      <w:widowControl/>
      <w:pBdr>
        <w:top w:val="single" w:color="auto" w:sz="4" w:space="0"/>
        <w:left w:val="single" w:color="auto" w:sz="4" w:space="0"/>
        <w:bottom w:val="single" w:color="auto" w:sz="8" w:space="0"/>
        <w:right w:val="single" w:color="auto" w:sz="8" w:space="0"/>
      </w:pBdr>
      <w:adjustRightInd/>
      <w:spacing w:before="100" w:beforeAutospacing="1" w:after="100" w:afterAutospacing="1" w:line="240" w:lineRule="auto"/>
      <w:jc w:val="left"/>
      <w:textAlignment w:val="auto"/>
    </w:pPr>
    <w:rPr>
      <w:rFonts w:ascii="黑体" w:hAnsi="黑体" w:eastAsia="黑体" w:cs="宋体"/>
      <w:sz w:val="18"/>
      <w:szCs w:val="18"/>
    </w:rPr>
  </w:style>
  <w:style w:type="paragraph" w:customStyle="1" w:styleId="141">
    <w:name w:val="xl83"/>
    <w:basedOn w:val="1"/>
    <w:qFormat/>
    <w:uiPriority w:val="0"/>
    <w:pPr>
      <w:widowControl/>
      <w:pBdr>
        <w:top w:val="single" w:color="auto" w:sz="8" w:space="0"/>
        <w:left w:val="single" w:color="auto" w:sz="4" w:space="0"/>
        <w:bottom w:val="single" w:color="auto" w:sz="4" w:space="0"/>
        <w:right w:val="single" w:color="000000" w:sz="8" w:space="0"/>
      </w:pBdr>
      <w:adjustRightInd/>
      <w:spacing w:before="100" w:beforeAutospacing="1" w:after="100" w:afterAutospacing="1" w:line="240" w:lineRule="auto"/>
      <w:jc w:val="center"/>
      <w:textAlignment w:val="auto"/>
    </w:pPr>
    <w:rPr>
      <w:rFonts w:ascii="黑体" w:hAnsi="黑体" w:eastAsia="黑体" w:cs="宋体"/>
      <w:sz w:val="18"/>
      <w:szCs w:val="18"/>
    </w:rPr>
  </w:style>
  <w:style w:type="paragraph" w:customStyle="1" w:styleId="142">
    <w:name w:val="font9"/>
    <w:basedOn w:val="1"/>
    <w:qFormat/>
    <w:uiPriority w:val="0"/>
    <w:pPr>
      <w:widowControl/>
      <w:adjustRightInd/>
      <w:spacing w:before="100" w:beforeAutospacing="1" w:after="100" w:afterAutospacing="1" w:line="240" w:lineRule="auto"/>
      <w:jc w:val="left"/>
      <w:textAlignment w:val="auto"/>
    </w:pPr>
    <w:rPr>
      <w:rFonts w:ascii="宋体" w:hAnsi="宋体" w:cs="宋体"/>
      <w:sz w:val="18"/>
      <w:szCs w:val="18"/>
    </w:rPr>
  </w:style>
  <w:style w:type="paragraph" w:customStyle="1" w:styleId="143">
    <w:name w:val="xl85"/>
    <w:basedOn w:val="1"/>
    <w:qFormat/>
    <w:uiPriority w:val="0"/>
    <w:pPr>
      <w:widowControl/>
      <w:pBdr>
        <w:top w:val="single" w:color="auto" w:sz="8"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宋体" w:hAnsi="宋体" w:cs="宋体"/>
      <w:color w:val="000000"/>
      <w:sz w:val="18"/>
      <w:szCs w:val="18"/>
    </w:rPr>
  </w:style>
  <w:style w:type="character" w:customStyle="1" w:styleId="144">
    <w:name w:val="font41"/>
    <w:basedOn w:val="46"/>
    <w:qFormat/>
    <w:uiPriority w:val="0"/>
    <w:rPr>
      <w:rFonts w:hint="eastAsia" w:ascii="宋体" w:hAnsi="宋体" w:eastAsia="宋体" w:cs="宋体"/>
      <w:b/>
      <w:color w:val="000000"/>
      <w:sz w:val="21"/>
      <w:szCs w:val="21"/>
      <w:u w:val="none"/>
    </w:rPr>
  </w:style>
  <w:style w:type="character" w:customStyle="1" w:styleId="145">
    <w:name w:val="font51"/>
    <w:basedOn w:val="46"/>
    <w:qFormat/>
    <w:uiPriority w:val="0"/>
    <w:rPr>
      <w:rFonts w:hint="default" w:ascii="Times New Roman" w:hAnsi="Times New Roman" w:cs="Times New Roman"/>
      <w:b/>
      <w:color w:val="000000"/>
      <w:sz w:val="21"/>
      <w:szCs w:val="21"/>
      <w:u w:val="none"/>
    </w:rPr>
  </w:style>
  <w:style w:type="character" w:customStyle="1" w:styleId="146">
    <w:name w:val="font01"/>
    <w:basedOn w:val="46"/>
    <w:qFormat/>
    <w:uiPriority w:val="0"/>
    <w:rPr>
      <w:rFonts w:hint="eastAsia" w:ascii="宋体" w:hAnsi="宋体" w:eastAsia="宋体" w:cs="宋体"/>
      <w:color w:val="000000"/>
      <w:sz w:val="20"/>
      <w:szCs w:val="20"/>
      <w:u w:val="none"/>
    </w:rPr>
  </w:style>
  <w:style w:type="character" w:customStyle="1" w:styleId="147">
    <w:name w:val="font31"/>
    <w:basedOn w:val="46"/>
    <w:qFormat/>
    <w:uiPriority w:val="0"/>
    <w:rPr>
      <w:rFonts w:hint="default" w:ascii="Times New Roman" w:hAnsi="Times New Roman" w:cs="Times New Roman"/>
      <w:color w:val="000000"/>
      <w:sz w:val="20"/>
      <w:szCs w:val="20"/>
      <w:u w:val="none"/>
    </w:rPr>
  </w:style>
  <w:style w:type="character" w:customStyle="1" w:styleId="148">
    <w:name w:val="font21"/>
    <w:basedOn w:val="46"/>
    <w:qFormat/>
    <w:uiPriority w:val="0"/>
    <w:rPr>
      <w:rFonts w:hint="eastAsia" w:ascii="宋体" w:hAnsi="宋体" w:eastAsia="宋体" w:cs="宋体"/>
      <w:color w:val="000000"/>
      <w:sz w:val="20"/>
      <w:szCs w:val="20"/>
      <w:u w:val="none"/>
    </w:rPr>
  </w:style>
  <w:style w:type="character" w:customStyle="1" w:styleId="149">
    <w:name w:val="font71"/>
    <w:basedOn w:val="46"/>
    <w:qFormat/>
    <w:uiPriority w:val="0"/>
    <w:rPr>
      <w:rFonts w:hint="default" w:ascii="楷体_GB2312" w:eastAsia="楷体_GB2312" w:cs="楷体_GB2312"/>
      <w:color w:val="000000"/>
      <w:sz w:val="20"/>
      <w:szCs w:val="20"/>
      <w:u w:val="none"/>
    </w:rPr>
  </w:style>
  <w:style w:type="character" w:customStyle="1" w:styleId="150">
    <w:name w:val="font61"/>
    <w:basedOn w:val="46"/>
    <w:qFormat/>
    <w:uiPriority w:val="0"/>
    <w:rPr>
      <w:rFonts w:hint="default" w:ascii="Times New Roman" w:hAnsi="Times New Roman" w:cs="Times New Roman"/>
      <w:color w:val="000000"/>
      <w:sz w:val="20"/>
      <w:szCs w:val="20"/>
      <w:u w:val="none"/>
      <w:vertAlign w:val="superscript"/>
    </w:rPr>
  </w:style>
  <w:style w:type="character" w:customStyle="1" w:styleId="151">
    <w:name w:val="font112"/>
    <w:basedOn w:val="46"/>
    <w:qFormat/>
    <w:uiPriority w:val="0"/>
    <w:rPr>
      <w:rFonts w:hint="eastAsia" w:ascii="黑体" w:hAnsi="宋体" w:eastAsia="黑体" w:cs="黑体"/>
      <w:color w:val="000000"/>
      <w:sz w:val="28"/>
      <w:szCs w:val="28"/>
      <w:u w:val="none"/>
    </w:rPr>
  </w:style>
  <w:style w:type="character" w:customStyle="1" w:styleId="152">
    <w:name w:val="font141"/>
    <w:basedOn w:val="46"/>
    <w:qFormat/>
    <w:uiPriority w:val="0"/>
    <w:rPr>
      <w:rFonts w:hint="eastAsia" w:ascii="宋体" w:hAnsi="宋体" w:eastAsia="宋体" w:cs="宋体"/>
      <w:color w:val="000000"/>
      <w:sz w:val="17"/>
      <w:szCs w:val="17"/>
      <w:u w:val="none"/>
    </w:rPr>
  </w:style>
  <w:style w:type="character" w:customStyle="1" w:styleId="153">
    <w:name w:val="font11"/>
    <w:basedOn w:val="46"/>
    <w:qFormat/>
    <w:uiPriority w:val="0"/>
    <w:rPr>
      <w:rFonts w:hint="default" w:ascii="楷体_GB2312" w:eastAsia="楷体_GB2312" w:cs="楷体_GB2312"/>
      <w:color w:val="000000"/>
      <w:sz w:val="20"/>
      <w:szCs w:val="20"/>
      <w:u w:val="none"/>
    </w:rPr>
  </w:style>
  <w:style w:type="character" w:customStyle="1" w:styleId="154">
    <w:name w:val="NormalCharacter"/>
    <w:qFormat/>
    <w:uiPriority w:val="0"/>
    <w:rPr>
      <w:rFonts w:ascii="Times New Roman" w:hAnsi="Times New Roman" w:eastAsia="宋体"/>
    </w:rPr>
  </w:style>
  <w:style w:type="paragraph" w:customStyle="1" w:styleId="155">
    <w:name w:val="msonormal"/>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eastAsia="宋体" w:cs="宋体"/>
      <w:sz w:val="24"/>
      <w:szCs w:val="24"/>
    </w:rPr>
  </w:style>
  <w:style w:type="paragraph" w:customStyle="1" w:styleId="156">
    <w:name w:val="xl93"/>
    <w:basedOn w:val="1"/>
    <w:qFormat/>
    <w:uiPriority w:val="0"/>
    <w:pPr>
      <w:widowControl/>
      <w:pBdr>
        <w:top w:val="single" w:color="000000" w:sz="4" w:space="0"/>
        <w:left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57">
    <w:name w:val="xl94"/>
    <w:basedOn w:val="1"/>
    <w:qFormat/>
    <w:uiPriority w:val="0"/>
    <w:pPr>
      <w:widowControl/>
      <w:pBdr>
        <w:left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58">
    <w:name w:val="xl95"/>
    <w:basedOn w:val="1"/>
    <w:qFormat/>
    <w:uiPriority w:val="0"/>
    <w:pPr>
      <w:widowControl/>
      <w:pBdr>
        <w:left w:val="single" w:color="000000" w:sz="8"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59">
    <w:name w:val="xl96"/>
    <w:basedOn w:val="1"/>
    <w:qFormat/>
    <w:uiPriority w:val="0"/>
    <w:pPr>
      <w:widowControl/>
      <w:pBdr>
        <w:top w:val="single" w:color="000000" w:sz="8" w:space="0"/>
        <w:left w:val="single" w:color="000000" w:sz="8"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60">
    <w:name w:val="xl97"/>
    <w:basedOn w:val="1"/>
    <w:qFormat/>
    <w:uiPriority w:val="0"/>
    <w:pPr>
      <w:widowControl/>
      <w:pBdr>
        <w:top w:val="single" w:color="000000" w:sz="8" w:space="0"/>
        <w:left w:val="single" w:color="000000" w:sz="4" w:space="0"/>
        <w:bottom w:val="single" w:color="000000" w:sz="4" w:space="0"/>
        <w:right w:val="single" w:color="000000" w:sz="8"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161">
    <w:name w:val="xl98"/>
    <w:basedOn w:val="1"/>
    <w:qFormat/>
    <w:uiPriority w:val="0"/>
    <w:pPr>
      <w:widowControl/>
      <w:pBdr>
        <w:top w:val="single" w:color="000000" w:sz="8" w:space="0"/>
        <w:left w:val="single" w:color="000000" w:sz="8"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162">
    <w:name w:val="xl99"/>
    <w:basedOn w:val="1"/>
    <w:qFormat/>
    <w:uiPriority w:val="0"/>
    <w:pPr>
      <w:widowControl/>
      <w:pBdr>
        <w:top w:val="single" w:color="auto" w:sz="4" w:space="0"/>
        <w:left w:val="single" w:color="auto"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163">
    <w:name w:val="xl100"/>
    <w:basedOn w:val="1"/>
    <w:qFormat/>
    <w:uiPriority w:val="0"/>
    <w:pPr>
      <w:widowControl/>
      <w:pBdr>
        <w:top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164">
    <w:name w:val="表格"/>
    <w:basedOn w:val="1"/>
    <w:qFormat/>
    <w:uiPriority w:val="0"/>
    <w:pPr>
      <w:widowControl/>
      <w:adjustRightInd/>
      <w:spacing w:line="240" w:lineRule="auto"/>
      <w:ind w:firstLine="0" w:firstLineChars="0"/>
      <w:jc w:val="center"/>
      <w:textAlignment w:val="auto"/>
    </w:pPr>
    <w:rPr>
      <w:rFonts w:hint="eastAsia" w:eastAsia="黑体" w:cs="宋体"/>
      <w:color w:val="000000"/>
      <w:sz w:val="21"/>
      <w:szCs w:val="22"/>
    </w:rPr>
  </w:style>
  <w:style w:type="paragraph" w:customStyle="1" w:styleId="165">
    <w:name w:val="font0"/>
    <w:basedOn w:val="1"/>
    <w:qFormat/>
    <w:uiPriority w:val="0"/>
    <w:pPr>
      <w:widowControl/>
      <w:adjustRightInd/>
      <w:spacing w:before="100" w:beforeAutospacing="1" w:after="100" w:afterAutospacing="1" w:line="240" w:lineRule="auto"/>
      <w:ind w:firstLine="0" w:firstLineChars="0"/>
      <w:jc w:val="left"/>
      <w:textAlignment w:val="auto"/>
    </w:pPr>
    <w:rPr>
      <w:rFonts w:ascii="仿宋" w:hAnsi="仿宋" w:cs="宋体"/>
      <w:color w:val="000000"/>
      <w:sz w:val="20"/>
    </w:rPr>
  </w:style>
  <w:style w:type="paragraph" w:customStyle="1" w:styleId="166">
    <w:name w:val="font1"/>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eastAsia="宋体" w:cs="宋体"/>
      <w:color w:val="000000"/>
      <w:sz w:val="24"/>
      <w:szCs w:val="24"/>
    </w:rPr>
  </w:style>
  <w:style w:type="paragraph" w:customStyle="1" w:styleId="167">
    <w:name w:val="font2"/>
    <w:basedOn w:val="1"/>
    <w:qFormat/>
    <w:uiPriority w:val="0"/>
    <w:pPr>
      <w:widowControl/>
      <w:adjustRightInd/>
      <w:spacing w:before="100" w:beforeAutospacing="1" w:after="100" w:afterAutospacing="1" w:line="240" w:lineRule="auto"/>
      <w:ind w:firstLine="0" w:firstLineChars="0"/>
      <w:jc w:val="left"/>
      <w:textAlignment w:val="auto"/>
    </w:pPr>
    <w:rPr>
      <w:rFonts w:ascii="黑体" w:hAnsi="黑体" w:eastAsia="黑体" w:cs="宋体"/>
      <w:color w:val="000000"/>
      <w:sz w:val="18"/>
      <w:szCs w:val="18"/>
    </w:rPr>
  </w:style>
  <w:style w:type="paragraph" w:customStyle="1" w:styleId="168">
    <w:name w:val="font3"/>
    <w:basedOn w:val="1"/>
    <w:qFormat/>
    <w:uiPriority w:val="0"/>
    <w:pPr>
      <w:widowControl/>
      <w:adjustRightInd/>
      <w:spacing w:before="100" w:beforeAutospacing="1" w:after="100" w:afterAutospacing="1" w:line="240" w:lineRule="auto"/>
      <w:ind w:firstLine="0" w:firstLineChars="0"/>
      <w:jc w:val="left"/>
      <w:textAlignment w:val="auto"/>
    </w:pPr>
    <w:rPr>
      <w:rFonts w:ascii="仿宋" w:hAnsi="仿宋" w:cs="宋体"/>
      <w:color w:val="000000"/>
      <w:sz w:val="18"/>
      <w:szCs w:val="18"/>
    </w:rPr>
  </w:style>
  <w:style w:type="paragraph" w:customStyle="1" w:styleId="169">
    <w:name w:val="font4"/>
    <w:basedOn w:val="1"/>
    <w:qFormat/>
    <w:uiPriority w:val="0"/>
    <w:pPr>
      <w:widowControl/>
      <w:adjustRightInd/>
      <w:spacing w:before="100" w:beforeAutospacing="1" w:after="100" w:afterAutospacing="1" w:line="240" w:lineRule="auto"/>
      <w:ind w:firstLine="0" w:firstLineChars="0"/>
      <w:jc w:val="left"/>
      <w:textAlignment w:val="auto"/>
    </w:pPr>
    <w:rPr>
      <w:rFonts w:ascii="仿宋" w:hAnsi="仿宋" w:cs="宋体"/>
      <w:color w:val="000000"/>
      <w:sz w:val="18"/>
      <w:szCs w:val="18"/>
    </w:rPr>
  </w:style>
  <w:style w:type="paragraph" w:customStyle="1" w:styleId="170">
    <w:name w:val="et3"/>
    <w:basedOn w:val="1"/>
    <w:qFormat/>
    <w:uiPriority w:val="0"/>
    <w:pPr>
      <w:widowControl/>
      <w:pBdr>
        <w:top w:val="single" w:color="000000" w:sz="8" w:space="0"/>
        <w:lef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1">
    <w:name w:val="et4"/>
    <w:basedOn w:val="1"/>
    <w:qFormat/>
    <w:uiPriority w:val="0"/>
    <w:pPr>
      <w:widowControl/>
      <w:pBdr>
        <w:top w:val="single" w:color="000000" w:sz="8"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2">
    <w:name w:val="et5"/>
    <w:basedOn w:val="1"/>
    <w:qFormat/>
    <w:uiPriority w:val="0"/>
    <w:pPr>
      <w:widowControl/>
      <w:pBdr>
        <w:top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3">
    <w:name w:val="et6"/>
    <w:basedOn w:val="1"/>
    <w:qFormat/>
    <w:uiPriority w:val="0"/>
    <w:pPr>
      <w:widowControl/>
      <w:pBdr>
        <w:top w:val="single" w:color="000000" w:sz="8" w:space="0"/>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4">
    <w:name w:val="et7"/>
    <w:basedOn w:val="1"/>
    <w:qFormat/>
    <w:uiPriority w:val="0"/>
    <w:pPr>
      <w:widowControl/>
      <w:pBdr>
        <w:top w:val="single" w:color="000000" w:sz="8" w:space="0"/>
        <w:left w:val="single" w:color="000000" w:sz="4"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5">
    <w:name w:val="et8"/>
    <w:basedOn w:val="1"/>
    <w:qFormat/>
    <w:uiPriority w:val="0"/>
    <w:pPr>
      <w:widowControl/>
      <w:pBdr>
        <w:top w:val="single" w:color="000000" w:sz="8"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6">
    <w:name w:val="et9"/>
    <w:basedOn w:val="1"/>
    <w:qFormat/>
    <w:uiPriority w:val="0"/>
    <w:pPr>
      <w:widowControl/>
      <w:pBdr>
        <w:left w:val="single" w:color="000000" w:sz="4"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7">
    <w:name w:val="et10"/>
    <w:basedOn w:val="1"/>
    <w:qFormat/>
    <w:uiPriority w:val="0"/>
    <w:pPr>
      <w:widowControl/>
      <w:pBdr>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8">
    <w:name w:val="et11"/>
    <w:basedOn w:val="1"/>
    <w:qFormat/>
    <w:uiPriority w:val="0"/>
    <w:pPr>
      <w:widowControl/>
      <w:pBdr>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79">
    <w:name w:val="et12"/>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0">
    <w:name w:val="et13"/>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1">
    <w:name w:val="et14"/>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182">
    <w:name w:val="et15"/>
    <w:basedOn w:val="1"/>
    <w:qFormat/>
    <w:uiPriority w:val="0"/>
    <w:pPr>
      <w:widowControl/>
      <w:pBdr>
        <w:top w:val="single" w:color="000000" w:sz="4" w:space="0"/>
        <w:left w:val="single" w:color="000000" w:sz="4"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3">
    <w:name w:val="et16"/>
    <w:basedOn w:val="1"/>
    <w:qFormat/>
    <w:uiPriority w:val="0"/>
    <w:pPr>
      <w:widowControl/>
      <w:pBdr>
        <w:top w:val="single" w:color="000000" w:sz="4"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4">
    <w:name w:val="et17"/>
    <w:basedOn w:val="1"/>
    <w:qFormat/>
    <w:uiPriority w:val="0"/>
    <w:pPr>
      <w:widowControl/>
      <w:pBdr>
        <w:top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5">
    <w:name w:val="et18"/>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textAlignment w:val="auto"/>
    </w:pPr>
    <w:rPr>
      <w:rFonts w:ascii="仿宋" w:hAnsi="仿宋" w:cs="宋体"/>
      <w:color w:val="000000"/>
      <w:sz w:val="18"/>
      <w:szCs w:val="18"/>
    </w:rPr>
  </w:style>
  <w:style w:type="paragraph" w:customStyle="1" w:styleId="186">
    <w:name w:val="et19"/>
    <w:basedOn w:val="1"/>
    <w:qFormat/>
    <w:uiPriority w:val="0"/>
    <w:pPr>
      <w:widowControl/>
      <w:pBdr>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187">
    <w:name w:val="et20"/>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8">
    <w:name w:val="et21"/>
    <w:basedOn w:val="1"/>
    <w:qFormat/>
    <w:uiPriority w:val="0"/>
    <w:pPr>
      <w:widowControl/>
      <w:pBdr>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89">
    <w:name w:val="et22"/>
    <w:basedOn w:val="1"/>
    <w:qFormat/>
    <w:uiPriority w:val="0"/>
    <w:pPr>
      <w:widowControl/>
      <w:pBdr>
        <w:top w:val="single" w:color="000000" w:sz="4" w:space="0"/>
        <w:lef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0">
    <w:name w:val="et23"/>
    <w:basedOn w:val="1"/>
    <w:qFormat/>
    <w:uiPriority w:val="0"/>
    <w:pPr>
      <w:widowControl/>
      <w:pBdr>
        <w:top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1">
    <w:name w:val="et24"/>
    <w:basedOn w:val="1"/>
    <w:qFormat/>
    <w:uiPriority w:val="0"/>
    <w:pPr>
      <w:widowControl/>
      <w:pBdr>
        <w:lef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2">
    <w:name w:val="et25"/>
    <w:basedOn w:val="1"/>
    <w:qFormat/>
    <w:uiPriority w:val="0"/>
    <w:pPr>
      <w:widowControl/>
      <w:pBdr>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3">
    <w:name w:val="et26"/>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194">
    <w:name w:val="et27"/>
    <w:basedOn w:val="1"/>
    <w:qFormat/>
    <w:uiPriority w:val="0"/>
    <w:pPr>
      <w:widowControl/>
      <w:pBdr>
        <w:top w:val="single" w:color="000000" w:sz="4" w:space="0"/>
        <w:left w:val="single" w:color="000000" w:sz="4"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195">
    <w:name w:val="et28"/>
    <w:basedOn w:val="1"/>
    <w:qFormat/>
    <w:uiPriority w:val="0"/>
    <w:pPr>
      <w:widowControl/>
      <w:pBdr>
        <w:top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196">
    <w:name w:val="et29"/>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7">
    <w:name w:val="et30"/>
    <w:basedOn w:val="1"/>
    <w:qFormat/>
    <w:uiPriority w:val="0"/>
    <w:pPr>
      <w:widowControl/>
      <w:pBdr>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8">
    <w:name w:val="et31"/>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199">
    <w:name w:val="et32"/>
    <w:basedOn w:val="1"/>
    <w:qFormat/>
    <w:uiPriority w:val="0"/>
    <w:pPr>
      <w:widowControl/>
      <w:pBdr>
        <w:top w:val="single" w:color="000000" w:sz="4" w:space="0"/>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00">
    <w:name w:val="et33"/>
    <w:basedOn w:val="1"/>
    <w:qFormat/>
    <w:uiPriority w:val="0"/>
    <w:pPr>
      <w:widowControl/>
      <w:pBdr>
        <w:left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01">
    <w:name w:val="et34"/>
    <w:basedOn w:val="1"/>
    <w:qFormat/>
    <w:uiPriority w:val="0"/>
    <w:pPr>
      <w:widowControl/>
      <w:pBdr>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02">
    <w:name w:val="et35"/>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03">
    <w:name w:val="et36"/>
    <w:basedOn w:val="1"/>
    <w:qFormat/>
    <w:uiPriority w:val="0"/>
    <w:pPr>
      <w:widowControl/>
      <w:pBdr>
        <w:top w:val="single" w:color="000000" w:sz="8"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204">
    <w:name w:val="et37"/>
    <w:basedOn w:val="1"/>
    <w:qFormat/>
    <w:uiPriority w:val="0"/>
    <w:pPr>
      <w:widowControl/>
      <w:pBdr>
        <w:top w:val="single" w:color="000000" w:sz="8" w:space="0"/>
        <w:bottom w:val="single" w:color="000000" w:sz="4" w:space="0"/>
        <w:right w:val="single" w:color="000000" w:sz="8"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205">
    <w:name w:val="et38"/>
    <w:basedOn w:val="1"/>
    <w:qFormat/>
    <w:uiPriority w:val="0"/>
    <w:pPr>
      <w:widowControl/>
      <w:pBdr>
        <w:top w:val="single" w:color="000000" w:sz="4" w:space="0"/>
        <w:left w:val="single" w:color="000000" w:sz="4" w:space="0"/>
        <w:bottom w:val="single" w:color="000000" w:sz="4" w:space="0"/>
        <w:right w:val="single" w:color="000000" w:sz="8"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206">
    <w:name w:val="et39"/>
    <w:basedOn w:val="1"/>
    <w:qFormat/>
    <w:uiPriority w:val="0"/>
    <w:pPr>
      <w:widowControl/>
      <w:pBdr>
        <w:top w:val="single" w:color="000000" w:sz="4" w:space="0"/>
        <w:left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黑体" w:hAnsi="黑体" w:eastAsia="黑体" w:cs="宋体"/>
      <w:sz w:val="18"/>
      <w:szCs w:val="18"/>
    </w:rPr>
  </w:style>
  <w:style w:type="paragraph" w:customStyle="1" w:styleId="207">
    <w:name w:val="et40"/>
    <w:basedOn w:val="1"/>
    <w:qFormat/>
    <w:uiPriority w:val="0"/>
    <w:pPr>
      <w:widowControl/>
      <w:pBdr>
        <w:top w:val="single" w:color="000000" w:sz="4" w:space="0"/>
        <w:left w:val="single" w:color="000000" w:sz="4" w:space="0"/>
        <w:bottom w:val="single" w:color="000000" w:sz="4" w:space="0"/>
        <w:right w:val="single" w:color="000000" w:sz="8" w:space="0"/>
      </w:pBdr>
      <w:adjustRightInd/>
      <w:spacing w:before="100" w:beforeAutospacing="1" w:after="100" w:afterAutospacing="1" w:line="240" w:lineRule="auto"/>
      <w:ind w:firstLine="0" w:firstLineChars="0"/>
      <w:jc w:val="center"/>
      <w:textAlignment w:val="auto"/>
    </w:pPr>
    <w:rPr>
      <w:rFonts w:ascii="黑体" w:hAnsi="黑体" w:eastAsia="黑体" w:cs="宋体"/>
      <w:sz w:val="18"/>
      <w:szCs w:val="18"/>
    </w:rPr>
  </w:style>
  <w:style w:type="paragraph" w:customStyle="1" w:styleId="208">
    <w:name w:val="et41"/>
    <w:basedOn w:val="1"/>
    <w:qFormat/>
    <w:uiPriority w:val="0"/>
    <w:pPr>
      <w:widowControl/>
      <w:pBdr>
        <w:top w:val="single" w:color="000000" w:sz="4" w:space="0"/>
        <w:left w:val="single" w:color="000000" w:sz="4" w:space="0"/>
        <w:bottom w:val="single" w:color="000000" w:sz="4" w:space="0"/>
        <w:right w:val="single" w:color="000000" w:sz="8"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09">
    <w:name w:val="et42"/>
    <w:basedOn w:val="1"/>
    <w:qFormat/>
    <w:uiPriority w:val="0"/>
    <w:pPr>
      <w:widowControl/>
      <w:pBdr>
        <w:left w:val="single" w:color="000000" w:sz="4" w:space="0"/>
        <w:bottom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10">
    <w:name w:val="et43"/>
    <w:basedOn w:val="1"/>
    <w:qFormat/>
    <w:uiPriority w:val="0"/>
    <w:pPr>
      <w:widowControl/>
      <w:pBdr>
        <w:top w:val="single" w:color="000000" w:sz="4" w:space="0"/>
        <w:left w:val="single" w:color="000000" w:sz="4" w:space="0"/>
        <w:bottom w:val="single" w:color="000000" w:sz="8"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11">
    <w:name w:val="et44"/>
    <w:basedOn w:val="1"/>
    <w:qFormat/>
    <w:uiPriority w:val="0"/>
    <w:pPr>
      <w:widowControl/>
      <w:pBdr>
        <w:top w:val="single" w:color="000000" w:sz="4" w:space="0"/>
        <w:bottom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12">
    <w:name w:val="et45"/>
    <w:basedOn w:val="1"/>
    <w:qFormat/>
    <w:uiPriority w:val="0"/>
    <w:pPr>
      <w:widowControl/>
      <w:pBdr>
        <w:top w:val="single" w:color="000000" w:sz="4" w:space="0"/>
        <w:left w:val="single" w:color="000000" w:sz="4" w:space="0"/>
        <w:bottom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213">
    <w:name w:val="et46"/>
    <w:basedOn w:val="1"/>
    <w:qFormat/>
    <w:uiPriority w:val="0"/>
    <w:pPr>
      <w:widowControl/>
      <w:pBdr>
        <w:top w:val="single" w:color="000000" w:sz="4" w:space="0"/>
        <w:left w:val="single" w:color="000000" w:sz="4" w:space="0"/>
        <w:bottom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214">
    <w:name w:val="et47"/>
    <w:basedOn w:val="1"/>
    <w:qFormat/>
    <w:uiPriority w:val="0"/>
    <w:pPr>
      <w:widowControl/>
      <w:pBdr>
        <w:top w:val="single" w:color="000000" w:sz="4" w:space="0"/>
        <w:left w:val="single" w:color="000000" w:sz="4" w:space="0"/>
        <w:bottom w:val="single" w:color="000000" w:sz="8" w:space="0"/>
        <w:right w:val="single" w:color="000000" w:sz="4" w:space="0"/>
      </w:pBdr>
      <w:adjustRightInd/>
      <w:spacing w:before="100" w:beforeAutospacing="1" w:after="100" w:afterAutospacing="1" w:line="240" w:lineRule="auto"/>
      <w:ind w:firstLine="0" w:firstLineChars="0"/>
      <w:jc w:val="left"/>
      <w:textAlignment w:val="auto"/>
    </w:pPr>
    <w:rPr>
      <w:rFonts w:ascii="宋体" w:hAnsi="宋体" w:eastAsia="宋体" w:cs="宋体"/>
      <w:sz w:val="24"/>
      <w:szCs w:val="24"/>
    </w:rPr>
  </w:style>
  <w:style w:type="paragraph" w:customStyle="1" w:styleId="215">
    <w:name w:val="et48"/>
    <w:basedOn w:val="1"/>
    <w:qFormat/>
    <w:uiPriority w:val="0"/>
    <w:pPr>
      <w:widowControl/>
      <w:pBdr>
        <w:top w:val="single" w:color="000000" w:sz="4" w:space="0"/>
        <w:left w:val="single" w:color="000000" w:sz="4" w:space="0"/>
        <w:bottom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黑体" w:hAnsi="黑体" w:eastAsia="黑体" w:cs="宋体"/>
      <w:sz w:val="18"/>
      <w:szCs w:val="18"/>
    </w:rPr>
  </w:style>
  <w:style w:type="paragraph" w:customStyle="1" w:styleId="216">
    <w:name w:val="et49"/>
    <w:basedOn w:val="1"/>
    <w:qFormat/>
    <w:uiPriority w:val="0"/>
    <w:pPr>
      <w:widowControl/>
      <w:pBdr>
        <w:top w:val="single" w:color="000000" w:sz="4" w:space="0"/>
        <w:left w:val="single" w:color="000000" w:sz="4" w:space="0"/>
        <w:bottom w:val="single" w:color="000000" w:sz="8" w:space="0"/>
        <w:right w:val="single" w:color="000000" w:sz="8" w:space="0"/>
      </w:pBdr>
      <w:adjustRightInd/>
      <w:spacing w:before="100" w:beforeAutospacing="1" w:after="100" w:afterAutospacing="1" w:line="240" w:lineRule="auto"/>
      <w:ind w:firstLine="0" w:firstLineChars="0"/>
      <w:jc w:val="center"/>
      <w:textAlignment w:val="auto"/>
    </w:pPr>
    <w:rPr>
      <w:rFonts w:ascii="黑体" w:hAnsi="黑体" w:eastAsia="黑体" w:cs="宋体"/>
      <w:sz w:val="18"/>
      <w:szCs w:val="18"/>
    </w:rPr>
  </w:style>
  <w:style w:type="character" w:customStyle="1" w:styleId="217">
    <w:name w:val="称呼 字符"/>
    <w:basedOn w:val="46"/>
    <w:link w:val="17"/>
    <w:qFormat/>
    <w:uiPriority w:val="0"/>
    <w:rPr>
      <w:rFonts w:ascii="Times New Roman" w:hAnsi="Times New Roman" w:eastAsia="宋体" w:cs="Times New Roman"/>
      <w:kern w:val="2"/>
      <w:sz w:val="24"/>
      <w:szCs w:val="24"/>
    </w:rPr>
  </w:style>
  <w:style w:type="paragraph" w:customStyle="1" w:styleId="218">
    <w:name w:val="xl101"/>
    <w:basedOn w:val="1"/>
    <w:qFormat/>
    <w:uiPriority w:val="0"/>
    <w:pPr>
      <w:widowControl/>
      <w:pBdr>
        <w:top w:val="single" w:color="auto" w:sz="4" w:space="0"/>
        <w:bottom w:val="single" w:color="auto"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19">
    <w:name w:val="xl102"/>
    <w:basedOn w:val="1"/>
    <w:qFormat/>
    <w:uiPriority w:val="0"/>
    <w:pPr>
      <w:widowControl/>
      <w:pBdr>
        <w:left w:val="single" w:color="000000" w:sz="8"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sz w:val="20"/>
    </w:rPr>
  </w:style>
  <w:style w:type="paragraph" w:customStyle="1" w:styleId="220">
    <w:name w:val="xl103"/>
    <w:basedOn w:val="1"/>
    <w:qFormat/>
    <w:uiPriority w:val="0"/>
    <w:pPr>
      <w:widowControl/>
      <w:pBdr>
        <w:top w:val="single" w:color="000000" w:sz="4" w:space="0"/>
        <w:left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21">
    <w:name w:val="xl104"/>
    <w:basedOn w:val="1"/>
    <w:qFormat/>
    <w:uiPriority w:val="0"/>
    <w:pPr>
      <w:widowControl/>
      <w:pBdr>
        <w:left w:val="single" w:color="000000" w:sz="8"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22">
    <w:name w:val="xl105"/>
    <w:basedOn w:val="1"/>
    <w:qFormat/>
    <w:uiPriority w:val="0"/>
    <w:pPr>
      <w:widowControl/>
      <w:pBdr>
        <w:left w:val="single" w:color="000000" w:sz="8"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23">
    <w:name w:val="xl106"/>
    <w:basedOn w:val="1"/>
    <w:qFormat/>
    <w:uiPriority w:val="0"/>
    <w:pPr>
      <w:widowControl/>
      <w:pBdr>
        <w:top w:val="single" w:color="000000" w:sz="4" w:space="0"/>
        <w:bottom w:val="single" w:color="000000" w:sz="4" w:space="0"/>
        <w:right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paragraph" w:customStyle="1" w:styleId="224">
    <w:name w:val="xl107"/>
    <w:basedOn w:val="1"/>
    <w:qFormat/>
    <w:uiPriority w:val="0"/>
    <w:pPr>
      <w:widowControl/>
      <w:pBdr>
        <w:top w:val="single" w:color="000000" w:sz="4" w:space="0"/>
        <w:left w:val="single" w:color="000000" w:sz="8" w:space="0"/>
        <w:bottom w:val="single" w:color="000000"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20"/>
    </w:rPr>
  </w:style>
  <w:style w:type="character" w:customStyle="1" w:styleId="225">
    <w:name w:val="表&amp;图 Char"/>
    <w:link w:val="226"/>
    <w:qFormat/>
    <w:uiPriority w:val="0"/>
    <w:rPr>
      <w:rFonts w:eastAsia="黑体"/>
      <w:kern w:val="2"/>
      <w:sz w:val="24"/>
      <w:szCs w:val="21"/>
    </w:rPr>
  </w:style>
  <w:style w:type="paragraph" w:customStyle="1" w:styleId="226">
    <w:name w:val="表&amp;图"/>
    <w:basedOn w:val="1"/>
    <w:link w:val="225"/>
    <w:qFormat/>
    <w:uiPriority w:val="0"/>
    <w:pPr>
      <w:adjustRightInd/>
      <w:ind w:firstLine="0" w:firstLineChars="0"/>
      <w:jc w:val="center"/>
      <w:textAlignment w:val="auto"/>
    </w:pPr>
    <w:rPr>
      <w:rFonts w:eastAsia="黑体"/>
      <w:kern w:val="2"/>
      <w:sz w:val="24"/>
      <w:szCs w:val="21"/>
    </w:rPr>
  </w:style>
  <w:style w:type="character" w:customStyle="1" w:styleId="227">
    <w:name w:val="正文段落 Char Char"/>
    <w:link w:val="228"/>
    <w:qFormat/>
    <w:uiPriority w:val="0"/>
    <w:rPr>
      <w:kern w:val="2"/>
      <w:sz w:val="28"/>
      <w:szCs w:val="24"/>
    </w:rPr>
  </w:style>
  <w:style w:type="paragraph" w:customStyle="1" w:styleId="228">
    <w:name w:val="正文段落"/>
    <w:basedOn w:val="1"/>
    <w:link w:val="227"/>
    <w:qFormat/>
    <w:uiPriority w:val="0"/>
    <w:pPr>
      <w:adjustRightInd/>
      <w:jc w:val="left"/>
      <w:textAlignment w:val="auto"/>
    </w:pPr>
    <w:rPr>
      <w:rFonts w:eastAsia="宋体"/>
      <w:kern w:val="2"/>
      <w:sz w:val="28"/>
      <w:szCs w:val="24"/>
    </w:rPr>
  </w:style>
  <w:style w:type="character" w:customStyle="1" w:styleId="229">
    <w:name w:val="尾注文本 字符"/>
    <w:link w:val="25"/>
    <w:qFormat/>
    <w:uiPriority w:val="0"/>
    <w:rPr>
      <w:rFonts w:ascii="宋体-方正超大字符集" w:eastAsia="宋体-方正超大字符集" w:cs="宋体-方正超大字符集"/>
      <w:kern w:val="2"/>
      <w:sz w:val="24"/>
      <w:szCs w:val="24"/>
    </w:rPr>
  </w:style>
  <w:style w:type="character" w:customStyle="1" w:styleId="230">
    <w:name w:val="页脚 Char1"/>
    <w:basedOn w:val="46"/>
    <w:semiHidden/>
    <w:qFormat/>
    <w:uiPriority w:val="99"/>
    <w:rPr>
      <w:rFonts w:ascii="宋体" w:cs="宋体-方正超大字符集"/>
      <w:kern w:val="2"/>
      <w:sz w:val="18"/>
      <w:szCs w:val="18"/>
    </w:rPr>
  </w:style>
  <w:style w:type="character" w:customStyle="1" w:styleId="231">
    <w:name w:val="纯文本 Char1"/>
    <w:basedOn w:val="46"/>
    <w:semiHidden/>
    <w:qFormat/>
    <w:uiPriority w:val="0"/>
    <w:rPr>
      <w:rFonts w:ascii="宋体" w:hAnsi="Courier New" w:cs="Courier New"/>
      <w:kern w:val="2"/>
      <w:sz w:val="21"/>
      <w:szCs w:val="21"/>
    </w:rPr>
  </w:style>
  <w:style w:type="character" w:customStyle="1" w:styleId="232">
    <w:name w:val="正文缩进 字符"/>
    <w:link w:val="13"/>
    <w:qFormat/>
    <w:uiPriority w:val="0"/>
    <w:rPr>
      <w:rFonts w:eastAsia="仿宋"/>
      <w:sz w:val="32"/>
    </w:rPr>
  </w:style>
  <w:style w:type="character" w:customStyle="1" w:styleId="233">
    <w:name w:val="尾注文本 Char1"/>
    <w:basedOn w:val="46"/>
    <w:semiHidden/>
    <w:qFormat/>
    <w:uiPriority w:val="99"/>
    <w:rPr>
      <w:rFonts w:ascii="宋体" w:cs="宋体-方正超大字符集"/>
      <w:kern w:val="2"/>
      <w:sz w:val="24"/>
      <w:szCs w:val="24"/>
    </w:rPr>
  </w:style>
  <w:style w:type="character" w:customStyle="1" w:styleId="234">
    <w:name w:val="脚注文本 字符"/>
    <w:link w:val="31"/>
    <w:qFormat/>
    <w:uiPriority w:val="99"/>
    <w:rPr>
      <w:rFonts w:ascii="宋体-方正超大字符集" w:eastAsia="宋体-方正超大字符集" w:cs="宋体-方正超大字符集"/>
      <w:kern w:val="2"/>
      <w:sz w:val="18"/>
      <w:szCs w:val="18"/>
    </w:rPr>
  </w:style>
  <w:style w:type="character" w:customStyle="1" w:styleId="235">
    <w:name w:val="A 正文 Char"/>
    <w:basedOn w:val="46"/>
    <w:link w:val="236"/>
    <w:qFormat/>
    <w:uiPriority w:val="0"/>
    <w:rPr>
      <w:rFonts w:ascii="宋体" w:hAnsi="宋体" w:eastAsia="仿宋_GB2312" w:cs="宋体"/>
      <w:kern w:val="2"/>
      <w:sz w:val="28"/>
      <w:szCs w:val="24"/>
    </w:rPr>
  </w:style>
  <w:style w:type="paragraph" w:customStyle="1" w:styleId="236">
    <w:name w:val="A 正文"/>
    <w:basedOn w:val="1"/>
    <w:link w:val="235"/>
    <w:qFormat/>
    <w:uiPriority w:val="0"/>
    <w:pPr>
      <w:autoSpaceDE w:val="0"/>
      <w:autoSpaceDN w:val="0"/>
      <w:snapToGrid w:val="0"/>
      <w:spacing w:line="353" w:lineRule="auto"/>
      <w:ind w:firstLine="560"/>
      <w:textAlignment w:val="auto"/>
    </w:pPr>
    <w:rPr>
      <w:rFonts w:ascii="宋体" w:hAnsi="宋体" w:cs="宋体"/>
      <w:kern w:val="2"/>
      <w:sz w:val="28"/>
      <w:szCs w:val="24"/>
    </w:rPr>
  </w:style>
  <w:style w:type="character" w:customStyle="1" w:styleId="237">
    <w:name w:val="apple-style-span"/>
    <w:basedOn w:val="46"/>
    <w:qFormat/>
    <w:uiPriority w:val="0"/>
  </w:style>
  <w:style w:type="character" w:styleId="238">
    <w:name w:val="Placeholder Text"/>
    <w:basedOn w:val="46"/>
    <w:semiHidden/>
    <w:qFormat/>
    <w:uiPriority w:val="99"/>
    <w:rPr>
      <w:color w:val="808080"/>
    </w:rPr>
  </w:style>
  <w:style w:type="character" w:customStyle="1" w:styleId="239">
    <w:name w:val="批注主题 Char1"/>
    <w:basedOn w:val="240"/>
    <w:semiHidden/>
    <w:qFormat/>
    <w:uiPriority w:val="99"/>
    <w:rPr>
      <w:rFonts w:ascii="宋体" w:cs="宋体-方正超大字符集"/>
      <w:b/>
      <w:bCs/>
      <w:kern w:val="2"/>
      <w:sz w:val="24"/>
      <w:szCs w:val="24"/>
    </w:rPr>
  </w:style>
  <w:style w:type="character" w:customStyle="1" w:styleId="240">
    <w:name w:val="批注文字 Char1"/>
    <w:basedOn w:val="46"/>
    <w:semiHidden/>
    <w:qFormat/>
    <w:uiPriority w:val="99"/>
    <w:rPr>
      <w:rFonts w:ascii="宋体" w:cs="宋体-方正超大字符集"/>
      <w:kern w:val="2"/>
      <w:sz w:val="24"/>
      <w:szCs w:val="24"/>
    </w:rPr>
  </w:style>
  <w:style w:type="character" w:customStyle="1" w:styleId="241">
    <w:name w:val="标题 2 Char Char"/>
    <w:qFormat/>
    <w:uiPriority w:val="0"/>
    <w:rPr>
      <w:rFonts w:ascii="Book Antiqua" w:hAnsi="Book Antiqua"/>
      <w:bCs/>
      <w:sz w:val="28"/>
      <w:szCs w:val="28"/>
    </w:rPr>
  </w:style>
  <w:style w:type="character" w:customStyle="1" w:styleId="242">
    <w:name w:val="样式-正文 Char"/>
    <w:basedOn w:val="46"/>
    <w:link w:val="243"/>
    <w:qFormat/>
    <w:uiPriority w:val="0"/>
    <w:rPr>
      <w:rFonts w:ascii="仿宋_GB2312" w:hAnsi="宋体" w:eastAsia="仿宋_GB2312" w:cs="黑体"/>
      <w:bCs/>
      <w:sz w:val="28"/>
      <w:szCs w:val="28"/>
    </w:rPr>
  </w:style>
  <w:style w:type="paragraph" w:customStyle="1" w:styleId="243">
    <w:name w:val="样式-正文"/>
    <w:basedOn w:val="1"/>
    <w:link w:val="242"/>
    <w:qFormat/>
    <w:uiPriority w:val="0"/>
    <w:pPr>
      <w:spacing w:line="240" w:lineRule="auto"/>
      <w:ind w:firstLine="560"/>
      <w:textAlignment w:val="auto"/>
    </w:pPr>
    <w:rPr>
      <w:rFonts w:ascii="仿宋_GB2312" w:hAnsi="宋体" w:cs="黑体"/>
      <w:bCs/>
      <w:sz w:val="28"/>
      <w:szCs w:val="28"/>
    </w:rPr>
  </w:style>
  <w:style w:type="character" w:customStyle="1" w:styleId="244">
    <w:name w:val="正文文本 2 Char1"/>
    <w:basedOn w:val="46"/>
    <w:semiHidden/>
    <w:qFormat/>
    <w:uiPriority w:val="99"/>
    <w:rPr>
      <w:rFonts w:ascii="宋体" w:cs="宋体-方正超大字符集"/>
      <w:kern w:val="2"/>
      <w:sz w:val="24"/>
      <w:szCs w:val="24"/>
    </w:rPr>
  </w:style>
  <w:style w:type="character" w:customStyle="1" w:styleId="245">
    <w:name w:val="脚注文本 Char1"/>
    <w:basedOn w:val="46"/>
    <w:semiHidden/>
    <w:qFormat/>
    <w:uiPriority w:val="99"/>
    <w:rPr>
      <w:rFonts w:ascii="宋体" w:cs="宋体-方正超大字符集"/>
      <w:kern w:val="2"/>
      <w:sz w:val="18"/>
      <w:szCs w:val="18"/>
    </w:rPr>
  </w:style>
  <w:style w:type="character" w:customStyle="1" w:styleId="246">
    <w:name w:val="5正文 Char Char"/>
    <w:basedOn w:val="46"/>
    <w:link w:val="247"/>
    <w:qFormat/>
    <w:uiPriority w:val="0"/>
    <w:rPr>
      <w:rFonts w:eastAsia="仿宋_GB2312"/>
      <w:iCs/>
      <w:sz w:val="28"/>
    </w:rPr>
  </w:style>
  <w:style w:type="paragraph" w:customStyle="1" w:styleId="247">
    <w:name w:val="5正文"/>
    <w:basedOn w:val="1"/>
    <w:link w:val="246"/>
    <w:qFormat/>
    <w:uiPriority w:val="0"/>
    <w:pPr>
      <w:adjustRightInd/>
      <w:spacing w:line="240" w:lineRule="auto"/>
      <w:ind w:firstLine="560"/>
      <w:textAlignment w:val="auto"/>
    </w:pPr>
    <w:rPr>
      <w:iCs/>
      <w:sz w:val="28"/>
    </w:rPr>
  </w:style>
  <w:style w:type="character" w:customStyle="1" w:styleId="248">
    <w:name w:val="font81"/>
    <w:basedOn w:val="46"/>
    <w:qFormat/>
    <w:uiPriority w:val="0"/>
    <w:rPr>
      <w:rFonts w:hint="eastAsia" w:ascii="仿宋" w:hAnsi="仿宋" w:eastAsia="仿宋" w:cs="仿宋"/>
      <w:color w:val="000000"/>
      <w:sz w:val="20"/>
      <w:szCs w:val="20"/>
      <w:u w:val="none"/>
      <w:vertAlign w:val="superscript"/>
    </w:rPr>
  </w:style>
  <w:style w:type="character" w:customStyle="1" w:styleId="249">
    <w:name w:val="font111"/>
    <w:basedOn w:val="46"/>
    <w:qFormat/>
    <w:uiPriority w:val="0"/>
    <w:rPr>
      <w:rFonts w:hint="eastAsia" w:ascii="仿宋" w:hAnsi="仿宋" w:eastAsia="仿宋" w:cs="仿宋"/>
      <w:color w:val="000000"/>
      <w:sz w:val="20"/>
      <w:szCs w:val="20"/>
      <w:u w:val="none"/>
    </w:rPr>
  </w:style>
  <w:style w:type="character" w:customStyle="1" w:styleId="250">
    <w:name w:val="脚注文本 字符1"/>
    <w:basedOn w:val="46"/>
    <w:semiHidden/>
    <w:qFormat/>
    <w:uiPriority w:val="99"/>
    <w:rPr>
      <w:rFonts w:eastAsia="仿宋"/>
      <w:sz w:val="18"/>
      <w:szCs w:val="18"/>
    </w:rPr>
  </w:style>
  <w:style w:type="character" w:customStyle="1" w:styleId="251">
    <w:name w:val="尾注文本 字符1"/>
    <w:basedOn w:val="46"/>
    <w:semiHidden/>
    <w:qFormat/>
    <w:uiPriority w:val="99"/>
    <w:rPr>
      <w:rFonts w:eastAsia="仿宋"/>
      <w:sz w:val="32"/>
    </w:rPr>
  </w:style>
  <w:style w:type="paragraph" w:customStyle="1" w:styleId="252">
    <w:name w:val="标准"/>
    <w:basedOn w:val="1"/>
    <w:qFormat/>
    <w:uiPriority w:val="0"/>
    <w:pPr>
      <w:jc w:val="center"/>
    </w:pPr>
    <w:rPr>
      <w:rFonts w:eastAsia="宋体"/>
      <w:sz w:val="24"/>
    </w:rPr>
  </w:style>
  <w:style w:type="paragraph" w:customStyle="1" w:styleId="253">
    <w:name w:val="Char Char Char Char"/>
    <w:basedOn w:val="1"/>
    <w:qFormat/>
    <w:uiPriority w:val="0"/>
    <w:pPr>
      <w:adjustRightInd/>
      <w:jc w:val="left"/>
      <w:textAlignment w:val="auto"/>
    </w:pPr>
    <w:rPr>
      <w:rFonts w:ascii="宋体" w:eastAsia="宋体" w:cs="宋体-方正超大字符集"/>
      <w:kern w:val="2"/>
      <w:sz w:val="24"/>
      <w:szCs w:val="24"/>
    </w:rPr>
  </w:style>
  <w:style w:type="paragraph" w:customStyle="1" w:styleId="254">
    <w:name w:val="正文文本 21"/>
    <w:basedOn w:val="1"/>
    <w:qFormat/>
    <w:uiPriority w:val="0"/>
    <w:pPr>
      <w:jc w:val="left"/>
    </w:pPr>
    <w:rPr>
      <w:rFonts w:eastAsia="宋体"/>
      <w:sz w:val="24"/>
    </w:rPr>
  </w:style>
  <w:style w:type="paragraph" w:customStyle="1" w:styleId="255">
    <w:name w:val="样式 小节1 + 段后: 0.5 行"/>
    <w:basedOn w:val="1"/>
    <w:qFormat/>
    <w:uiPriority w:val="0"/>
    <w:pPr>
      <w:widowControl/>
      <w:adjustRightInd/>
      <w:spacing w:after="120"/>
      <w:ind w:firstLine="539"/>
      <w:jc w:val="left"/>
      <w:textAlignment w:val="auto"/>
      <w:outlineLvl w:val="1"/>
    </w:pPr>
    <w:rPr>
      <w:rFonts w:ascii="宋体" w:hAnsi="宋体" w:eastAsia="宋体" w:cs="宋体"/>
      <w:bCs/>
      <w:kern w:val="2"/>
      <w:sz w:val="24"/>
      <w:szCs w:val="24"/>
    </w:rPr>
  </w:style>
  <w:style w:type="paragraph" w:customStyle="1" w:styleId="256">
    <w:name w:val="正文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7">
    <w:name w:val="Y表格_标题"/>
    <w:qFormat/>
    <w:uiPriority w:val="0"/>
    <w:pPr>
      <w:jc w:val="center"/>
    </w:pPr>
    <w:rPr>
      <w:rFonts w:ascii="Times New Roman" w:hAnsi="Times New Roman" w:eastAsia="宋体" w:cs="Times New Roman"/>
      <w:b/>
      <w:bCs/>
      <w:sz w:val="28"/>
      <w:lang w:val="en-US" w:eastAsia="zh-CN" w:bidi="ar-SA"/>
    </w:rPr>
  </w:style>
  <w:style w:type="paragraph" w:customStyle="1" w:styleId="258">
    <w:name w:val="样式 标题 4 + 宋体 左侧:  0.42 厘米 右侧:  0.42 厘米"/>
    <w:basedOn w:val="6"/>
    <w:qFormat/>
    <w:uiPriority w:val="0"/>
    <w:pPr>
      <w:numPr>
        <w:ilvl w:val="0"/>
        <w:numId w:val="0"/>
      </w:numPr>
      <w:tabs>
        <w:tab w:val="clear" w:pos="864"/>
      </w:tabs>
      <w:ind w:left="238" w:right="238" w:firstLine="200" w:firstLineChars="200"/>
    </w:pPr>
    <w:rPr>
      <w:rFonts w:ascii="宋体" w:hAnsi="宋体" w:eastAsia="宋体" w:cs="宋体"/>
      <w:szCs w:val="20"/>
    </w:rPr>
  </w:style>
  <w:style w:type="paragraph" w:customStyle="1" w:styleId="259">
    <w:name w:val="Char Char Char Char Char Char Char Char Char Char Char Char Char"/>
    <w:basedOn w:val="1"/>
    <w:autoRedefine/>
    <w:qFormat/>
    <w:uiPriority w:val="0"/>
    <w:pPr>
      <w:tabs>
        <w:tab w:val="left" w:pos="360"/>
      </w:tabs>
      <w:adjustRightInd/>
      <w:snapToGrid w:val="0"/>
      <w:ind w:left="360" w:hanging="360"/>
      <w:jc w:val="left"/>
      <w:textAlignment w:val="auto"/>
    </w:pPr>
    <w:rPr>
      <w:rFonts w:cs="宋体"/>
      <w:kern w:val="2"/>
      <w:sz w:val="24"/>
      <w:szCs w:val="24"/>
    </w:rPr>
  </w:style>
  <w:style w:type="paragraph" w:customStyle="1" w:styleId="260">
    <w:name w:val="Char1"/>
    <w:basedOn w:val="1"/>
    <w:semiHidden/>
    <w:qFormat/>
    <w:uiPriority w:val="0"/>
    <w:pPr>
      <w:adjustRightInd/>
      <w:snapToGrid w:val="0"/>
      <w:ind w:firstLine="0" w:firstLineChars="0"/>
      <w:textAlignment w:val="auto"/>
    </w:pPr>
    <w:rPr>
      <w:rFonts w:eastAsia="宋体"/>
      <w:b/>
      <w:kern w:val="2"/>
      <w:sz w:val="24"/>
      <w:szCs w:val="24"/>
    </w:rPr>
  </w:style>
  <w:style w:type="paragraph" w:customStyle="1" w:styleId="261">
    <w:name w:val="mqh"/>
    <w:basedOn w:val="1"/>
    <w:qFormat/>
    <w:uiPriority w:val="0"/>
    <w:pPr>
      <w:adjustRightInd/>
      <w:jc w:val="left"/>
      <w:textAlignment w:val="auto"/>
    </w:pPr>
    <w:rPr>
      <w:rFonts w:eastAsia="宋体"/>
      <w:snapToGrid w:val="0"/>
      <w:sz w:val="21"/>
      <w:lang w:val="en-GB"/>
    </w:rPr>
  </w:style>
  <w:style w:type="paragraph" w:customStyle="1" w:styleId="262">
    <w:name w:val="样式 标题 3标题 33(F4) + 宋体"/>
    <w:basedOn w:val="5"/>
    <w:qFormat/>
    <w:uiPriority w:val="0"/>
    <w:pPr>
      <w:keepNext w:val="0"/>
      <w:keepLines w:val="0"/>
      <w:numPr>
        <w:ilvl w:val="2"/>
        <w:numId w:val="1"/>
      </w:numPr>
      <w:spacing w:before="0" w:after="0" w:line="480" w:lineRule="auto"/>
      <w:ind w:firstLine="0" w:firstLineChars="0"/>
      <w:jc w:val="left"/>
    </w:pPr>
    <w:rPr>
      <w:rFonts w:ascii="宋体" w:hAnsi="宋体" w:eastAsia="宋体" w:cs="宋体-方正超大字符集"/>
      <w:b w:val="0"/>
      <w:szCs w:val="24"/>
    </w:rPr>
  </w:style>
  <w:style w:type="paragraph" w:customStyle="1" w:styleId="263">
    <w:name w:val="Char"/>
    <w:basedOn w:val="1"/>
    <w:next w:val="1"/>
    <w:qFormat/>
    <w:uiPriority w:val="0"/>
    <w:pPr>
      <w:adjustRightInd/>
      <w:jc w:val="left"/>
      <w:textAlignment w:val="auto"/>
    </w:pPr>
    <w:rPr>
      <w:rFonts w:eastAsia="宋体"/>
      <w:kern w:val="2"/>
      <w:sz w:val="24"/>
      <w:szCs w:val="24"/>
    </w:rPr>
  </w:style>
  <w:style w:type="paragraph" w:customStyle="1" w:styleId="264">
    <w:name w:val="样式 标题 4 + 左侧:  0.42 厘米 右侧:  0.42 厘米"/>
    <w:basedOn w:val="6"/>
    <w:qFormat/>
    <w:uiPriority w:val="0"/>
    <w:pPr>
      <w:numPr>
        <w:ilvl w:val="0"/>
        <w:numId w:val="0"/>
      </w:numPr>
      <w:tabs>
        <w:tab w:val="clear" w:pos="864"/>
      </w:tabs>
      <w:spacing w:line="376" w:lineRule="auto"/>
      <w:ind w:left="100" w:leftChars="100" w:right="240" w:rightChars="100"/>
    </w:pPr>
    <w:rPr>
      <w:rFonts w:ascii="Cambria" w:hAnsi="Cambria" w:eastAsia="宋体" w:cs="宋体"/>
      <w:szCs w:val="20"/>
    </w:rPr>
  </w:style>
  <w:style w:type="paragraph" w:customStyle="1" w:styleId="265">
    <w:name w:val="样式 标题 2H21.11.1节，彩色(C+F2)(F3)Title22nd levelh22Header ..."/>
    <w:basedOn w:val="4"/>
    <w:qFormat/>
    <w:uiPriority w:val="0"/>
    <w:pPr>
      <w:keepNext w:val="0"/>
      <w:keepLines w:val="0"/>
      <w:numPr>
        <w:ilvl w:val="1"/>
        <w:numId w:val="1"/>
      </w:numPr>
      <w:spacing w:line="480" w:lineRule="auto"/>
      <w:ind w:firstLine="0" w:firstLineChars="0"/>
      <w:jc w:val="left"/>
    </w:pPr>
    <w:rPr>
      <w:rFonts w:ascii="宋体" w:hAnsi="宋体" w:eastAsia="宋体" w:cs="宋体-方正超大字符集"/>
      <w:b/>
      <w:sz w:val="30"/>
    </w:rPr>
  </w:style>
  <w:style w:type="paragraph" w:customStyle="1" w:styleId="266">
    <w:name w:val="样式 宋体 小四 首行缩进:  0.63 厘米 行距: 1.5 倍行距"/>
    <w:basedOn w:val="1"/>
    <w:qFormat/>
    <w:uiPriority w:val="0"/>
    <w:pPr>
      <w:adjustRightInd/>
      <w:jc w:val="left"/>
      <w:textAlignment w:val="auto"/>
    </w:pPr>
    <w:rPr>
      <w:rFonts w:ascii="宋体" w:eastAsia="宋体"/>
      <w:kern w:val="2"/>
      <w:sz w:val="24"/>
    </w:rPr>
  </w:style>
  <w:style w:type="paragraph" w:customStyle="1" w:styleId="267">
    <w:name w:val="Char111"/>
    <w:basedOn w:val="1"/>
    <w:qFormat/>
    <w:uiPriority w:val="0"/>
    <w:pPr>
      <w:widowControl/>
      <w:adjustRightInd/>
      <w:jc w:val="left"/>
      <w:textAlignment w:val="auto"/>
    </w:pPr>
    <w:rPr>
      <w:rFonts w:eastAsia="宋体"/>
      <w:kern w:val="2"/>
      <w:sz w:val="21"/>
      <w:szCs w:val="21"/>
    </w:rPr>
  </w:style>
  <w:style w:type="paragraph" w:customStyle="1" w:styleId="268">
    <w:name w:val="表格正文"/>
    <w:basedOn w:val="1"/>
    <w:qFormat/>
    <w:uiPriority w:val="0"/>
    <w:pPr>
      <w:adjustRightInd/>
      <w:spacing w:line="240" w:lineRule="auto"/>
      <w:ind w:firstLine="0" w:firstLineChars="0"/>
      <w:jc w:val="center"/>
      <w:textAlignment w:val="auto"/>
    </w:pPr>
    <w:rPr>
      <w:rFonts w:hint="eastAsia" w:ascii="宋体" w:hAnsi="宋体" w:eastAsia="宋体"/>
      <w:kern w:val="2"/>
      <w:sz w:val="24"/>
      <w:szCs w:val="24"/>
    </w:rPr>
  </w:style>
  <w:style w:type="paragraph" w:customStyle="1" w:styleId="269">
    <w:name w:val="正表1"/>
    <w:basedOn w:val="1"/>
    <w:qFormat/>
    <w:uiPriority w:val="0"/>
    <w:pPr>
      <w:widowControl/>
      <w:adjustRightInd/>
      <w:spacing w:beforeLines="50"/>
      <w:ind w:firstLine="0" w:firstLineChars="0"/>
      <w:jc w:val="center"/>
    </w:pPr>
    <w:rPr>
      <w:rFonts w:eastAsia="宋体"/>
      <w:color w:val="000000"/>
      <w:sz w:val="18"/>
      <w:u w:color="000000"/>
    </w:rPr>
  </w:style>
  <w:style w:type="paragraph" w:customStyle="1" w:styleId="270">
    <w:name w:val="正表头"/>
    <w:basedOn w:val="269"/>
    <w:qFormat/>
    <w:uiPriority w:val="0"/>
    <w:rPr>
      <w:b/>
      <w:sz w:val="21"/>
    </w:rPr>
  </w:style>
  <w:style w:type="paragraph" w:customStyle="1" w:styleId="271">
    <w:name w:val="正文居中"/>
    <w:basedOn w:val="126"/>
    <w:qFormat/>
    <w:uiPriority w:val="0"/>
    <w:pPr>
      <w:spacing w:line="360" w:lineRule="auto"/>
      <w:jc w:val="center"/>
    </w:pPr>
    <w:rPr>
      <w:rFonts w:ascii="黑体" w:hAnsi="宋体" w:eastAsia="黑体" w:cs="宋体-方正超大字符集"/>
      <w:sz w:val="24"/>
    </w:rPr>
  </w:style>
  <w:style w:type="paragraph" w:customStyle="1" w:styleId="272">
    <w:name w:val="TOC 标题1"/>
    <w:basedOn w:val="3"/>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273">
    <w:name w:val="无间隔1"/>
    <w:qFormat/>
    <w:uiPriority w:val="0"/>
    <w:pPr>
      <w:widowControl w:val="0"/>
      <w:jc w:val="center"/>
    </w:pPr>
    <w:rPr>
      <w:rFonts w:ascii="宋体" w:hAnsi="Calibri" w:eastAsia="宋体" w:cs="Times New Roman"/>
      <w:kern w:val="2"/>
      <w:sz w:val="21"/>
      <w:szCs w:val="22"/>
      <w:lang w:val="en-US" w:eastAsia="zh-CN" w:bidi="ar-SA"/>
    </w:rPr>
  </w:style>
  <w:style w:type="paragraph" w:customStyle="1" w:styleId="274">
    <w:name w:val="样式1"/>
    <w:basedOn w:val="1"/>
    <w:qFormat/>
    <w:uiPriority w:val="99"/>
    <w:pPr>
      <w:widowControl/>
      <w:numPr>
        <w:ilvl w:val="0"/>
        <w:numId w:val="2"/>
      </w:numPr>
      <w:adjustRightInd/>
      <w:spacing w:beforeLines="50" w:afterLines="50" w:line="480" w:lineRule="auto"/>
      <w:ind w:firstLine="0"/>
      <w:jc w:val="left"/>
      <w:textAlignment w:val="auto"/>
      <w:outlineLvl w:val="0"/>
    </w:pPr>
    <w:rPr>
      <w:rFonts w:ascii="Arial" w:hAnsi="Arial" w:cs="黑体"/>
      <w:w w:val="70"/>
      <w:sz w:val="28"/>
      <w:szCs w:val="36"/>
      <w:lang w:eastAsia="en-US"/>
    </w:rPr>
  </w:style>
  <w:style w:type="paragraph" w:customStyle="1" w:styleId="275">
    <w:name w:val="我的正文"/>
    <w:basedOn w:val="1"/>
    <w:qFormat/>
    <w:uiPriority w:val="0"/>
    <w:pPr>
      <w:adjustRightInd/>
      <w:spacing w:line="500" w:lineRule="exact"/>
      <w:ind w:firstLine="584" w:firstLineChars="0"/>
      <w:textAlignment w:val="auto"/>
    </w:pPr>
    <w:rPr>
      <w:rFonts w:ascii="宋体" w:hAnsi="宋体" w:eastAsia="宋体" w:cs="Arial"/>
      <w:bCs/>
      <w:color w:val="000000"/>
      <w:kern w:val="28"/>
      <w:sz w:val="28"/>
      <w:szCs w:val="32"/>
    </w:rPr>
  </w:style>
  <w:style w:type="paragraph" w:customStyle="1" w:styleId="276">
    <w:name w:val="Char2"/>
    <w:basedOn w:val="1"/>
    <w:qFormat/>
    <w:uiPriority w:val="0"/>
    <w:pPr>
      <w:adjustRightInd/>
      <w:spacing w:line="240" w:lineRule="auto"/>
      <w:ind w:firstLine="0" w:firstLineChars="0"/>
      <w:textAlignment w:val="auto"/>
    </w:pPr>
    <w:rPr>
      <w:rFonts w:eastAsia="宋体"/>
      <w:kern w:val="2"/>
      <w:sz w:val="21"/>
      <w:szCs w:val="24"/>
    </w:rPr>
  </w:style>
  <w:style w:type="paragraph" w:customStyle="1" w:styleId="277">
    <w:name w:val="_Style 75"/>
    <w:next w:val="1"/>
    <w:unhideWhenUsed/>
    <w:qFormat/>
    <w:uiPriority w:val="99"/>
    <w:pPr>
      <w:widowControl w:val="0"/>
      <w:spacing w:line="360" w:lineRule="auto"/>
      <w:ind w:firstLine="200" w:firstLineChars="200"/>
    </w:pPr>
    <w:rPr>
      <w:rFonts w:ascii="宋体" w:hAnsi="Times New Roman" w:eastAsia="宋体" w:cs="宋体-方正超大字符集"/>
      <w:kern w:val="2"/>
      <w:sz w:val="24"/>
      <w:szCs w:val="24"/>
      <w:lang w:val="en-US" w:eastAsia="zh-CN" w:bidi="ar-SA"/>
    </w:rPr>
  </w:style>
  <w:style w:type="paragraph" w:customStyle="1" w:styleId="278">
    <w:name w:val="样式 样式 首行缩进:  2 字符2 + 首行缩进:  2 字符1"/>
    <w:basedOn w:val="1"/>
    <w:qFormat/>
    <w:uiPriority w:val="0"/>
    <w:pPr>
      <w:adjustRightInd/>
      <w:ind w:firstLine="560"/>
      <w:textAlignment w:val="auto"/>
    </w:pPr>
    <w:rPr>
      <w:rFonts w:ascii="仿宋_GB2312"/>
      <w:sz w:val="28"/>
    </w:rPr>
  </w:style>
  <w:style w:type="paragraph" w:customStyle="1" w:styleId="279">
    <w:name w:val="font10"/>
    <w:basedOn w:val="1"/>
    <w:qFormat/>
    <w:uiPriority w:val="0"/>
    <w:pPr>
      <w:widowControl/>
      <w:adjustRightInd/>
      <w:spacing w:before="100" w:beforeAutospacing="1" w:after="100" w:afterAutospacing="1" w:line="240" w:lineRule="auto"/>
      <w:ind w:firstLine="0" w:firstLineChars="0"/>
      <w:jc w:val="left"/>
      <w:textAlignment w:val="auto"/>
    </w:pPr>
    <w:rPr>
      <w:rFonts w:eastAsia="宋体"/>
      <w:sz w:val="18"/>
      <w:szCs w:val="18"/>
    </w:rPr>
  </w:style>
  <w:style w:type="paragraph" w:customStyle="1" w:styleId="280">
    <w:name w:val="xl108"/>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ind w:firstLine="0" w:firstLineChars="0"/>
      <w:jc w:val="center"/>
      <w:textAlignment w:val="auto"/>
    </w:pPr>
    <w:rPr>
      <w:rFonts w:eastAsia="宋体"/>
      <w:color w:val="000000"/>
      <w:sz w:val="18"/>
      <w:szCs w:val="18"/>
    </w:rPr>
  </w:style>
  <w:style w:type="paragraph" w:customStyle="1" w:styleId="281">
    <w:name w:val="xl109"/>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eastAsia="宋体"/>
      <w:color w:val="000000"/>
      <w:sz w:val="18"/>
      <w:szCs w:val="18"/>
    </w:rPr>
  </w:style>
  <w:style w:type="paragraph" w:customStyle="1" w:styleId="282">
    <w:name w:val="xl11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283">
    <w:name w:val="xl111"/>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仿宋" w:hAnsi="仿宋" w:cs="宋体"/>
      <w:color w:val="000000"/>
      <w:sz w:val="18"/>
      <w:szCs w:val="18"/>
    </w:rPr>
  </w:style>
  <w:style w:type="paragraph" w:customStyle="1" w:styleId="284">
    <w:name w:val="xl112"/>
    <w:basedOn w:val="1"/>
    <w:qFormat/>
    <w:uiPriority w:val="0"/>
    <w:pPr>
      <w:widowControl/>
      <w:pBdr>
        <w:top w:val="single" w:color="auto" w:sz="4" w:space="0"/>
        <w:left w:val="single" w:color="auto" w:sz="8"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eastAsia="宋体"/>
      <w:sz w:val="18"/>
      <w:szCs w:val="18"/>
    </w:rPr>
  </w:style>
  <w:style w:type="paragraph" w:customStyle="1" w:styleId="285">
    <w:name w:val="xl113"/>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286">
    <w:name w:val="xl114"/>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287">
    <w:name w:val="xl115"/>
    <w:basedOn w:val="1"/>
    <w:qFormat/>
    <w:uiPriority w:val="0"/>
    <w:pPr>
      <w:widowControl/>
      <w:pBdr>
        <w:left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288">
    <w:name w:val="xl116"/>
    <w:basedOn w:val="1"/>
    <w:qFormat/>
    <w:uiPriority w:val="0"/>
    <w:pPr>
      <w:widowControl/>
      <w:pBdr>
        <w:left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eastAsia="宋体" w:cs="宋体"/>
      <w:sz w:val="18"/>
      <w:szCs w:val="18"/>
    </w:rPr>
  </w:style>
  <w:style w:type="paragraph" w:customStyle="1" w:styleId="289">
    <w:name w:val="xl117"/>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eastAsia="宋体" w:cs="宋体"/>
      <w:sz w:val="18"/>
      <w:szCs w:val="18"/>
    </w:rPr>
  </w:style>
  <w:style w:type="paragraph" w:customStyle="1" w:styleId="290">
    <w:name w:val="xl118"/>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ind w:firstLine="0" w:firstLineChars="0"/>
      <w:jc w:val="center"/>
      <w:textAlignment w:val="auto"/>
    </w:pPr>
    <w:rPr>
      <w:rFonts w:eastAsia="宋体"/>
      <w:sz w:val="18"/>
      <w:szCs w:val="18"/>
    </w:rPr>
  </w:style>
  <w:style w:type="paragraph" w:customStyle="1" w:styleId="291">
    <w:name w:val="xl119"/>
    <w:basedOn w:val="1"/>
    <w:qFormat/>
    <w:uiPriority w:val="0"/>
    <w:pPr>
      <w:widowControl/>
      <w:pBdr>
        <w:top w:val="single" w:color="auto" w:sz="4" w:space="0"/>
        <w:left w:val="single" w:color="auto" w:sz="4" w:space="0"/>
        <w:bottom w:val="single" w:color="auto" w:sz="4" w:space="0"/>
        <w:right w:val="single" w:color="auto" w:sz="8"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292">
    <w:name w:val="xl120"/>
    <w:basedOn w:val="1"/>
    <w:qFormat/>
    <w:uiPriority w:val="0"/>
    <w:pPr>
      <w:widowControl/>
      <w:pBdr>
        <w:top w:val="single" w:color="auto" w:sz="4" w:space="0"/>
        <w:left w:val="single" w:color="auto" w:sz="4" w:space="0"/>
        <w:bottom w:val="single" w:color="auto" w:sz="4" w:space="0"/>
        <w:right w:val="single" w:color="auto" w:sz="8" w:space="0"/>
      </w:pBdr>
      <w:adjustRightInd/>
      <w:spacing w:before="100" w:beforeAutospacing="1" w:after="100" w:afterAutospacing="1" w:line="240" w:lineRule="auto"/>
      <w:ind w:firstLine="0" w:firstLineChars="0"/>
      <w:jc w:val="center"/>
      <w:textAlignment w:val="auto"/>
    </w:pPr>
    <w:rPr>
      <w:rFonts w:eastAsia="宋体"/>
      <w:sz w:val="18"/>
      <w:szCs w:val="18"/>
    </w:rPr>
  </w:style>
  <w:style w:type="paragraph" w:customStyle="1" w:styleId="293">
    <w:name w:val="xl121"/>
    <w:basedOn w:val="1"/>
    <w:qFormat/>
    <w:uiPriority w:val="0"/>
    <w:pPr>
      <w:widowControl/>
      <w:pBdr>
        <w:top w:val="single" w:color="auto" w:sz="8" w:space="0"/>
        <w:left w:val="single" w:color="auto" w:sz="8"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仿宋" w:hAnsi="仿宋" w:cs="宋体"/>
      <w:sz w:val="18"/>
      <w:szCs w:val="18"/>
    </w:rPr>
  </w:style>
  <w:style w:type="paragraph" w:customStyle="1" w:styleId="294">
    <w:name w:val="Char11"/>
    <w:basedOn w:val="1"/>
    <w:qFormat/>
    <w:uiPriority w:val="0"/>
    <w:pPr>
      <w:widowControl/>
      <w:adjustRightInd/>
      <w:jc w:val="left"/>
      <w:textAlignment w:val="auto"/>
    </w:pPr>
    <w:rPr>
      <w:rFonts w:eastAsia="宋体"/>
      <w:kern w:val="2"/>
      <w:sz w:val="21"/>
      <w:szCs w:val="21"/>
    </w:rPr>
  </w:style>
  <w:style w:type="paragraph" w:customStyle="1" w:styleId="295">
    <w:name w:val="TOC 标题11"/>
    <w:basedOn w:val="3"/>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296">
    <w:name w:val="规划表格"/>
    <w:basedOn w:val="1"/>
    <w:qFormat/>
    <w:uiPriority w:val="0"/>
    <w:pPr>
      <w:widowControl/>
      <w:spacing w:line="240" w:lineRule="auto"/>
      <w:ind w:firstLine="0" w:firstLineChars="0"/>
      <w:jc w:val="center"/>
      <w:textAlignment w:val="center"/>
    </w:pPr>
    <w:rPr>
      <w:rFonts w:eastAsia="黑体"/>
      <w:color w:val="000000"/>
      <w:sz w:val="21"/>
      <w:szCs w:val="21"/>
    </w:rPr>
  </w:style>
  <w:style w:type="character" w:customStyle="1" w:styleId="297">
    <w:name w:val="font91"/>
    <w:basedOn w:val="46"/>
    <w:qFormat/>
    <w:uiPriority w:val="0"/>
    <w:rPr>
      <w:rFonts w:hint="default" w:ascii="Times New Roman" w:hAnsi="Times New Roman" w:cs="Times New Roman"/>
      <w:color w:val="000000"/>
      <w:sz w:val="18"/>
      <w:szCs w:val="18"/>
      <w:u w:val="none"/>
      <w:vertAlign w:val="superscript"/>
    </w:rPr>
  </w:style>
  <w:style w:type="paragraph" w:customStyle="1" w:styleId="298">
    <w:name w:val="xl122"/>
    <w:basedOn w:val="1"/>
    <w:qFormat/>
    <w:uiPriority w:val="0"/>
    <w:pPr>
      <w:widowControl/>
      <w:pBdr>
        <w:top w:val="single" w:color="auto" w:sz="8" w:space="0"/>
        <w:left w:val="single" w:color="auto" w:sz="4" w:space="0"/>
        <w:bottom w:val="single" w:color="auto" w:sz="4" w:space="0"/>
        <w:right w:val="single" w:color="auto" w:sz="8" w:space="0"/>
      </w:pBdr>
      <w:adjustRightInd/>
      <w:spacing w:before="100" w:beforeAutospacing="1" w:after="100" w:afterAutospacing="1" w:line="240" w:lineRule="auto"/>
      <w:ind w:firstLine="0" w:firstLineChars="0"/>
      <w:jc w:val="center"/>
      <w:textAlignment w:val="auto"/>
    </w:pPr>
    <w:rPr>
      <w:rFonts w:eastAsia="宋体"/>
      <w:sz w:val="18"/>
      <w:szCs w:val="18"/>
    </w:rPr>
  </w:style>
  <w:style w:type="paragraph" w:customStyle="1" w:styleId="299">
    <w:name w:val="规划文本"/>
    <w:basedOn w:val="2"/>
    <w:link w:val="300"/>
    <w:qFormat/>
    <w:uiPriority w:val="0"/>
    <w:pPr>
      <w:overflowPunct w:val="0"/>
      <w:spacing w:after="0" w:line="560" w:lineRule="exact"/>
    </w:pPr>
    <w:rPr>
      <w:szCs w:val="30"/>
      <w:lang w:bidi="he-IL"/>
    </w:rPr>
  </w:style>
  <w:style w:type="character" w:customStyle="1" w:styleId="300">
    <w:name w:val="规划文本 Char"/>
    <w:link w:val="299"/>
    <w:qFormat/>
    <w:uiPriority w:val="0"/>
    <w:rPr>
      <w:rFonts w:eastAsia="仿宋_GB2312"/>
      <w:kern w:val="2"/>
      <w:sz w:val="30"/>
      <w:szCs w:val="30"/>
      <w:lang w:bidi="he-IL"/>
    </w:rPr>
  </w:style>
  <w:style w:type="paragraph" w:customStyle="1" w:styleId="301">
    <w:name w:val="表格内容"/>
    <w:basedOn w:val="1"/>
    <w:link w:val="303"/>
    <w:qFormat/>
    <w:uiPriority w:val="0"/>
    <w:pPr>
      <w:widowControl/>
      <w:adjustRightInd/>
      <w:spacing w:line="360" w:lineRule="auto"/>
      <w:ind w:firstLine="0" w:firstLineChars="0"/>
      <w:jc w:val="center"/>
      <w:textAlignment w:val="auto"/>
    </w:pPr>
    <w:rPr>
      <w:color w:val="000000"/>
      <w:sz w:val="21"/>
      <w:szCs w:val="22"/>
    </w:rPr>
  </w:style>
  <w:style w:type="paragraph" w:customStyle="1" w:styleId="302">
    <w:name w:val="图表标题"/>
    <w:basedOn w:val="1"/>
    <w:link w:val="304"/>
    <w:qFormat/>
    <w:uiPriority w:val="0"/>
    <w:pPr>
      <w:adjustRightInd/>
      <w:spacing w:line="360" w:lineRule="auto"/>
      <w:ind w:firstLine="0" w:firstLineChars="0"/>
      <w:jc w:val="center"/>
      <w:textAlignment w:val="auto"/>
    </w:pPr>
    <w:rPr>
      <w:rFonts w:eastAsia="黑体"/>
      <w:b/>
      <w:kern w:val="2"/>
      <w:sz w:val="21"/>
      <w:szCs w:val="22"/>
    </w:rPr>
  </w:style>
  <w:style w:type="character" w:customStyle="1" w:styleId="303">
    <w:name w:val="表格内容 字符"/>
    <w:basedOn w:val="46"/>
    <w:link w:val="301"/>
    <w:qFormat/>
    <w:uiPriority w:val="0"/>
    <w:rPr>
      <w:rFonts w:eastAsia="仿宋_GB2312"/>
      <w:color w:val="000000"/>
      <w:sz w:val="21"/>
      <w:szCs w:val="22"/>
    </w:rPr>
  </w:style>
  <w:style w:type="character" w:customStyle="1" w:styleId="304">
    <w:name w:val="图表标题 字符"/>
    <w:basedOn w:val="46"/>
    <w:link w:val="302"/>
    <w:qFormat/>
    <w:uiPriority w:val="0"/>
    <w:rPr>
      <w:rFonts w:eastAsia="黑体"/>
      <w:b/>
      <w:kern w:val="2"/>
      <w:sz w:val="21"/>
      <w:szCs w:val="22"/>
    </w:rPr>
  </w:style>
  <w:style w:type="table" w:customStyle="1" w:styleId="30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06">
    <w:name w:val="Table Paragraph"/>
    <w:basedOn w:val="1"/>
    <w:qFormat/>
    <w:uiPriority w:val="1"/>
    <w:pPr>
      <w:autoSpaceDE w:val="0"/>
      <w:autoSpaceDN w:val="0"/>
      <w:adjustRightInd/>
      <w:spacing w:line="240" w:lineRule="auto"/>
      <w:ind w:firstLine="0" w:firstLineChars="0"/>
      <w:jc w:val="center"/>
      <w:textAlignment w:val="auto"/>
    </w:pPr>
    <w:rPr>
      <w:rFonts w:ascii="宋体" w:hAnsi="宋体" w:eastAsia="宋体" w:cs="宋体"/>
      <w:sz w:val="22"/>
      <w:szCs w:val="22"/>
      <w:lang w:eastAsia="en-US"/>
    </w:rPr>
  </w:style>
  <w:style w:type="paragraph" w:customStyle="1" w:styleId="307">
    <w:name w:val="修订1"/>
    <w:hidden/>
    <w:semiHidden/>
    <w:qFormat/>
    <w:uiPriority w:val="99"/>
    <w:rPr>
      <w:rFonts w:eastAsia="仿宋_GB2312" w:asciiTheme="minorHAnsi" w:hAnsiTheme="minorHAnsi" w:cstheme="minorBidi"/>
      <w:kern w:val="2"/>
      <w:sz w:val="28"/>
      <w:szCs w:val="22"/>
      <w:lang w:val="en-US" w:eastAsia="zh-CN" w:bidi="ar-SA"/>
    </w:rPr>
  </w:style>
  <w:style w:type="character" w:customStyle="1" w:styleId="308">
    <w:name w:val="正文文本首行缩进 2 字符"/>
    <w:basedOn w:val="67"/>
    <w:link w:val="43"/>
    <w:qFormat/>
    <w:uiPriority w:val="99"/>
    <w:rPr>
      <w:rFonts w:ascii="仿宋_GB2312" w:hAnsi="宋体" w:eastAsia="仿宋_GB2312" w:cs="Times New Roman"/>
      <w:snapToGrid/>
      <w:kern w:val="2"/>
      <w:sz w:val="32"/>
      <w:szCs w:val="21"/>
    </w:rPr>
  </w:style>
  <w:style w:type="paragraph" w:customStyle="1" w:styleId="309">
    <w:name w:val="BodyText1I2"/>
    <w:basedOn w:val="310"/>
    <w:next w:val="1"/>
    <w:qFormat/>
    <w:uiPriority w:val="0"/>
    <w:pPr>
      <w:ind w:firstLine="420"/>
    </w:pPr>
  </w:style>
  <w:style w:type="paragraph" w:customStyle="1" w:styleId="310">
    <w:name w:val="BodyTextIndent"/>
    <w:basedOn w:val="1"/>
    <w:qFormat/>
    <w:uiPriority w:val="0"/>
    <w:pPr>
      <w:widowControl/>
      <w:adjustRightInd/>
      <w:spacing w:line="360" w:lineRule="auto"/>
      <w:ind w:firstLine="600"/>
      <w:jc w:val="left"/>
    </w:pPr>
    <w:rPr>
      <w:rFonts w:ascii="仿宋" w:hAnsi="仿宋" w:cs="宋体"/>
      <w:bCs/>
      <w:szCs w:val="30"/>
    </w:rPr>
  </w:style>
  <w:style w:type="character" w:customStyle="1" w:styleId="311">
    <w:name w:val="px141"/>
    <w:qFormat/>
    <w:uiPriority w:val="0"/>
    <w:rPr>
      <w:sz w:val="21"/>
    </w:rPr>
  </w:style>
  <w:style w:type="paragraph" w:customStyle="1" w:styleId="312">
    <w:name w:val="正文文本123"/>
    <w:basedOn w:val="1"/>
    <w:qFormat/>
    <w:uiPriority w:val="0"/>
    <w:pPr>
      <w:adjustRightInd/>
      <w:spacing w:before="240" w:line="360" w:lineRule="auto"/>
      <w:textAlignment w:val="auto"/>
    </w:pPr>
    <w:rPr>
      <w:rFonts w:eastAsia="宋体"/>
      <w:kern w:val="2"/>
      <w:sz w:val="21"/>
      <w:szCs w:val="30"/>
    </w:rPr>
  </w:style>
  <w:style w:type="paragraph" w:customStyle="1" w:styleId="313">
    <w:name w:val="正文1"/>
    <w:basedOn w:val="35"/>
    <w:qFormat/>
    <w:uiPriority w:val="0"/>
    <w:pPr>
      <w:widowControl/>
      <w:tabs>
        <w:tab w:val="right" w:leader="dot" w:pos="8296"/>
      </w:tabs>
      <w:adjustRightInd/>
      <w:spacing w:line="460" w:lineRule="atLeast"/>
      <w:ind w:left="0" w:firstLine="480" w:firstLineChars="0"/>
      <w:jc w:val="both"/>
      <w:textAlignment w:val="auto"/>
    </w:pPr>
    <w:rPr>
      <w:rFonts w:ascii="Times New Roman" w:hAnsi="Times New Roman"/>
      <w:smallCaps w:val="0"/>
      <w:kern w:val="2"/>
      <w:sz w:val="24"/>
      <w:szCs w:val="24"/>
    </w:rPr>
  </w:style>
  <w:style w:type="paragraph" w:customStyle="1" w:styleId="314">
    <w:name w:val="表格内字体"/>
    <w:basedOn w:val="1"/>
    <w:qFormat/>
    <w:uiPriority w:val="0"/>
    <w:pPr>
      <w:adjustRightInd/>
      <w:spacing w:line="240" w:lineRule="auto"/>
      <w:ind w:firstLine="0" w:firstLineChars="0"/>
      <w:jc w:val="center"/>
      <w:textAlignment w:val="auto"/>
    </w:pPr>
    <w:rPr>
      <w:kern w:val="2"/>
      <w:sz w:val="21"/>
      <w:szCs w:val="21"/>
    </w:rPr>
  </w:style>
  <w:style w:type="paragraph" w:customStyle="1" w:styleId="315">
    <w:name w:val="WPSOffice手动目录 1"/>
    <w:qFormat/>
    <w:uiPriority w:val="0"/>
    <w:rPr>
      <w:rFonts w:ascii="Times New Roman" w:hAnsi="Times New Roman" w:eastAsia="宋体" w:cs="Times New Roman"/>
      <w:lang w:val="en-US" w:eastAsia="zh-CN" w:bidi="ar-SA"/>
    </w:rPr>
  </w:style>
  <w:style w:type="paragraph" w:customStyle="1" w:styleId="31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7">
    <w:name w:val="样式 首行缩进:  2 字符"/>
    <w:basedOn w:val="1"/>
    <w:qFormat/>
    <w:uiPriority w:val="0"/>
    <w:pPr>
      <w:adjustRightInd/>
      <w:spacing w:line="240" w:lineRule="auto"/>
      <w:ind w:firstLine="560" w:firstLineChars="0"/>
      <w:textAlignment w:val="auto"/>
    </w:pPr>
    <w:rPr>
      <w:rFonts w:eastAsia="宋体"/>
      <w:kern w:val="2"/>
      <w:sz w:val="21"/>
      <w:szCs w:val="21"/>
    </w:rPr>
  </w:style>
  <w:style w:type="paragraph" w:customStyle="1" w:styleId="318">
    <w:name w:val="报告正文"/>
    <w:basedOn w:val="1"/>
    <w:link w:val="319"/>
    <w:qFormat/>
    <w:uiPriority w:val="0"/>
    <w:pPr>
      <w:widowControl/>
      <w:adjustRightInd/>
      <w:spacing w:line="360" w:lineRule="auto"/>
      <w:textAlignment w:val="auto"/>
    </w:pPr>
    <w:rPr>
      <w:rFonts w:ascii="仿宋" w:hAnsi="仿宋" w:eastAsia="方正仿宋简体"/>
      <w:sz w:val="24"/>
      <w:szCs w:val="28"/>
      <w:lang w:bidi="en-US"/>
    </w:rPr>
  </w:style>
  <w:style w:type="character" w:customStyle="1" w:styleId="319">
    <w:name w:val="报告正文 字符"/>
    <w:basedOn w:val="46"/>
    <w:link w:val="318"/>
    <w:qFormat/>
    <w:uiPriority w:val="0"/>
    <w:rPr>
      <w:rFonts w:ascii="仿宋" w:hAnsi="仿宋" w:eastAsia="方正仿宋简体"/>
      <w:sz w:val="24"/>
      <w:szCs w:val="28"/>
      <w:lang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F5555-56F6-49A1-B43D-BDE504DAE08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117</Pages>
  <Words>9921</Words>
  <Characters>56556</Characters>
  <Lines>471</Lines>
  <Paragraphs>132</Paragraphs>
  <TotalTime>220</TotalTime>
  <ScaleCrop>false</ScaleCrop>
  <LinksUpToDate>false</LinksUpToDate>
  <CharactersWithSpaces>66345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2022-04-19T03:00:00Z</dcterms:created>
  <dc:creator>Administrator</dc:creator>
  <cp:lastModifiedBy>Administrator</cp:lastModifiedBy>
  <cp:lastPrinted>2023-11-19T09:30:00Z</cp:lastPrinted>
  <dcterms:modified xsi:type="dcterms:W3CDTF">2024-01-19T01:17:29Z</dcterms:modified>
  <cp:revision>213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7B981BA8AAAD4808840BB1FEE7B5C8C6_13</vt:lpwstr>
  </property>
</Properties>
</file>